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817A4" w14:textId="77777777" w:rsidR="0003187C" w:rsidRDefault="0003187C" w:rsidP="00015456">
      <w:pPr>
        <w:spacing w:after="0" w:line="480" w:lineRule="auto"/>
      </w:pPr>
      <w:bookmarkStart w:id="0" w:name="_GoBack"/>
      <w:bookmarkEnd w:id="0"/>
      <w:r>
        <w:t>Emelia Conte</w:t>
      </w:r>
    </w:p>
    <w:p w14:paraId="0E4FD575" w14:textId="77777777" w:rsidR="0003187C" w:rsidRDefault="0003187C" w:rsidP="00015456">
      <w:pPr>
        <w:spacing w:after="0" w:line="480" w:lineRule="auto"/>
      </w:pPr>
      <w:r>
        <w:t>Professor Lori Bedell</w:t>
      </w:r>
    </w:p>
    <w:p w14:paraId="27BCAC0B" w14:textId="77777777" w:rsidR="0003187C" w:rsidRDefault="0003187C" w:rsidP="00015456">
      <w:pPr>
        <w:spacing w:after="0" w:line="480" w:lineRule="auto"/>
      </w:pPr>
      <w:r>
        <w:t>CAS 137H, Section 005</w:t>
      </w:r>
    </w:p>
    <w:p w14:paraId="0C20E0DD" w14:textId="265DE099" w:rsidR="0003187C" w:rsidRDefault="004F474C" w:rsidP="00015456">
      <w:pPr>
        <w:spacing w:after="0" w:line="480" w:lineRule="auto"/>
      </w:pPr>
      <w:r>
        <w:t>7 November</w:t>
      </w:r>
      <w:r w:rsidR="0003187C">
        <w:t xml:space="preserve"> 2014</w:t>
      </w:r>
    </w:p>
    <w:p w14:paraId="645F40F8" w14:textId="7E5D22EA" w:rsidR="0003187C" w:rsidRDefault="00F7443A" w:rsidP="00015456">
      <w:pPr>
        <w:spacing w:after="0" w:line="480" w:lineRule="auto"/>
        <w:jc w:val="center"/>
      </w:pPr>
      <w:r>
        <w:t>Pink is for Girls and Blue is for Boys…or is it?</w:t>
      </w:r>
    </w:p>
    <w:p w14:paraId="7D5ACD08" w14:textId="162103A6" w:rsidR="0014502F" w:rsidRDefault="00580378" w:rsidP="0014502F">
      <w:pPr>
        <w:spacing w:after="0" w:line="480" w:lineRule="auto"/>
        <w:ind w:firstLine="720"/>
      </w:pPr>
      <w:r>
        <w:t>Upon walking into the baby section of any department store, there is a clear divide. Typically, one wall is dominated by pink, frilly dresses reminiscent of</w:t>
      </w:r>
      <w:r w:rsidR="0093534A">
        <w:t xml:space="preserve"> Disney</w:t>
      </w:r>
      <w:r>
        <w:t xml:space="preserve"> princesses, while its counterpart is decorated</w:t>
      </w:r>
      <w:r w:rsidR="00E9092F">
        <w:t xml:space="preserve"> in multiple shades of blue, surrounded by images of footballs and monster trucks. </w:t>
      </w:r>
      <w:r w:rsidR="0014502F">
        <w:t>Most people believe</w:t>
      </w:r>
      <w:r w:rsidR="00C34275">
        <w:t xml:space="preserve"> this phenomenon is simply </w:t>
      </w:r>
      <w:r w:rsidR="00C53C1D">
        <w:t>an unalterable fact of society</w:t>
      </w:r>
      <w:r w:rsidR="0014502F">
        <w:t>.</w:t>
      </w:r>
      <w:r w:rsidR="0014502F" w:rsidRPr="0014502F">
        <w:t xml:space="preserve"> </w:t>
      </w:r>
      <w:r w:rsidR="0014502F">
        <w:t>However, the current association of pink with girls and blue with boys has not always been the case; in fact, in the pre-World War II era, boys predominantly wore pink, while girls were typically dressed in blue, and gender neutral clothing was prevalent even before this distinction was made. Despite this, WWII was not the only contributing factor for the establishment of today’s baby color practices; the switch from a blue for girls, pink for boys clothing convention to today’s commonplace resulted from ideologies developed during WWII and the growth of mass marketing in American culture, and fluctuated after its establishment as social movements faded in and out of American history. Nonetheless, this paradigm shift is not a trivial change in American culture; the newfound association of gender with specific colors caused a stubbornness toward traditional gender roles and a fear of nonconformity to these ideals.</w:t>
      </w:r>
    </w:p>
    <w:p w14:paraId="1F511D4B" w14:textId="6970955D" w:rsidR="00F14FA3" w:rsidRDefault="00E47239" w:rsidP="006C19F1">
      <w:pPr>
        <w:spacing w:after="0" w:line="480" w:lineRule="auto"/>
      </w:pPr>
      <w:r>
        <w:tab/>
      </w:r>
      <w:r w:rsidR="00E65675">
        <w:t>Prior to</w:t>
      </w:r>
      <w:r>
        <w:t xml:space="preserve"> the </w:t>
      </w:r>
      <w:r w:rsidR="00E65675">
        <w:t xml:space="preserve">founding of the </w:t>
      </w:r>
      <w:r>
        <w:t xml:space="preserve">blue for girls </w:t>
      </w:r>
      <w:r w:rsidR="00D54B9A">
        <w:t>and pink for boys pre-WW</w:t>
      </w:r>
      <w:r>
        <w:t xml:space="preserve">II </w:t>
      </w:r>
      <w:r w:rsidR="00E65675">
        <w:t>model</w:t>
      </w:r>
      <w:r>
        <w:t xml:space="preserve">, all children were </w:t>
      </w:r>
      <w:r w:rsidR="006312B9">
        <w:t xml:space="preserve">traditionally </w:t>
      </w:r>
      <w:r>
        <w:t xml:space="preserve">dressed in gender neutral clothing. According to Jo Paoletti, author of </w:t>
      </w:r>
      <w:r w:rsidRPr="00E47239">
        <w:rPr>
          <w:i/>
        </w:rPr>
        <w:t>Pink and Blue:  Telling the Boys f</w:t>
      </w:r>
      <w:r>
        <w:rPr>
          <w:i/>
        </w:rPr>
        <w:t xml:space="preserve">rom the Girls in America, </w:t>
      </w:r>
      <w:r>
        <w:t>all children used to wear long, white dresses, whi</w:t>
      </w:r>
      <w:r w:rsidR="0014502F">
        <w:t xml:space="preserve">ch made it </w:t>
      </w:r>
      <w:r>
        <w:t xml:space="preserve">easier for parents to change diapers and allowed them the opportunity of </w:t>
      </w:r>
      <w:r w:rsidR="006C19F1">
        <w:rPr>
          <w:noProof/>
        </w:rPr>
        <w:lastRenderedPageBreak/>
        <mc:AlternateContent>
          <mc:Choice Requires="wps">
            <w:drawing>
              <wp:anchor distT="0" distB="0" distL="114300" distR="114300" simplePos="0" relativeHeight="251661312" behindDoc="0" locked="0" layoutInCell="1" allowOverlap="1" wp14:anchorId="33A909CB" wp14:editId="556527A5">
                <wp:simplePos x="0" y="0"/>
                <wp:positionH relativeFrom="column">
                  <wp:posOffset>0</wp:posOffset>
                </wp:positionH>
                <wp:positionV relativeFrom="paragraph">
                  <wp:posOffset>3970020</wp:posOffset>
                </wp:positionV>
                <wp:extent cx="305498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054985" cy="635"/>
                        </a:xfrm>
                        <a:prstGeom prst="rect">
                          <a:avLst/>
                        </a:prstGeom>
                        <a:solidFill>
                          <a:prstClr val="white"/>
                        </a:solidFill>
                        <a:ln>
                          <a:noFill/>
                        </a:ln>
                        <a:effectLst/>
                      </wps:spPr>
                      <wps:txbx>
                        <w:txbxContent>
                          <w:p w14:paraId="1E1A2B88" w14:textId="4E204141" w:rsidR="006C19F1" w:rsidRPr="00BA7BC1" w:rsidRDefault="006C19F1" w:rsidP="006C19F1">
                            <w:pPr>
                              <w:pStyle w:val="Caption"/>
                              <w:jc w:val="center"/>
                              <w:rPr>
                                <w:sz w:val="24"/>
                                <w:szCs w:val="24"/>
                              </w:rPr>
                            </w:pPr>
                            <w:r>
                              <w:t xml:space="preserve">Figure </w:t>
                            </w:r>
                            <w:r w:rsidR="00ED205B">
                              <w:fldChar w:fldCharType="begin"/>
                            </w:r>
                            <w:r w:rsidR="00ED205B">
                              <w:instrText xml:space="preserve"> SEQ Figure \* ARABIC </w:instrText>
                            </w:r>
                            <w:r w:rsidR="00ED205B">
                              <w:fldChar w:fldCharType="separate"/>
                            </w:r>
                            <w:r w:rsidR="00FA6A4F">
                              <w:rPr>
                                <w:noProof/>
                              </w:rPr>
                              <w:t>1</w:t>
                            </w:r>
                            <w:r w:rsidR="00ED205B">
                              <w:rPr>
                                <w:noProof/>
                              </w:rPr>
                              <w:fldChar w:fldCharType="end"/>
                            </w:r>
                            <w:r>
                              <w:t>. FDR at two and a half years,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33A909CB" id="_x0000_t202" coordsize="21600,21600" o:spt="202" path="m,l,21600r21600,l21600,xe">
                <v:stroke joinstyle="miter"/>
                <v:path gradientshapeok="t" o:connecttype="rect"/>
              </v:shapetype>
              <v:shape id="Text Box 1" o:spid="_x0000_s1026" type="#_x0000_t202" style="position:absolute;margin-left:0;margin-top:312.6pt;width:240.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" stroked="f">
                <v:textbox style="mso-fit-shape-to-text:t" inset="0,0,0,0">
                  <w:txbxContent>
                    <w:p w14:paraId="1E1A2B88" w14:textId="4E204141" w:rsidR="006C19F1" w:rsidRPr="00BA7BC1" w:rsidRDefault="006C19F1" w:rsidP="006C19F1">
                      <w:pPr>
                        <w:pStyle w:val="Caption"/>
                        <w:jc w:val="center"/>
                        <w:rPr>
                          <w:sz w:val="24"/>
                          <w:szCs w:val="24"/>
                        </w:rPr>
                      </w:pPr>
                      <w:r>
                        <w:t xml:space="preserve">Figure </w:t>
                      </w:r>
                      <w:fldSimple w:instr=" SEQ Figure \* ARABIC ">
                        <w:r w:rsidR="00FA6A4F">
                          <w:rPr>
                            <w:noProof/>
                          </w:rPr>
                          <w:t>1</w:t>
                        </w:r>
                      </w:fldSimple>
                      <w:r>
                        <w:t>. FDR at two and a half years, 1884</w:t>
                      </w:r>
                    </w:p>
                  </w:txbxContent>
                </v:textbox>
                <w10:wrap type="square"/>
              </v:shape>
            </w:pict>
          </mc:Fallback>
        </mc:AlternateContent>
      </w:r>
      <w:r w:rsidR="006C19F1">
        <w:rPr>
          <w:rFonts w:eastAsia="Times New Roman"/>
          <w:noProof/>
          <w:color w:val="000000"/>
        </w:rPr>
        <w:drawing>
          <wp:anchor distT="0" distB="0" distL="114300" distR="114300" simplePos="0" relativeHeight="251659264" behindDoc="0" locked="0" layoutInCell="1" allowOverlap="1" wp14:anchorId="75167DFB" wp14:editId="42DAB695">
            <wp:simplePos x="0" y="0"/>
            <wp:positionH relativeFrom="margin">
              <wp:align>left</wp:align>
            </wp:positionH>
            <wp:positionV relativeFrom="paragraph">
              <wp:posOffset>243</wp:posOffset>
            </wp:positionV>
            <wp:extent cx="3054985" cy="39128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9aee4a97d857d9b.jpg"/>
                    <pic:cNvPicPr/>
                  </pic:nvPicPr>
                  <pic:blipFill>
                    <a:blip r:embed="rId8">
                      <a:extLst>
                        <a:ext uri="{28A0092B-C50C-407E-A947-70E740481C1C}">
                          <a14:useLocalDpi xmlns:a14="http://schemas.microsoft.com/office/drawing/2010/main" val="0"/>
                        </a:ext>
                      </a:extLst>
                    </a:blip>
                    <a:stretch>
                      <a:fillRect/>
                    </a:stretch>
                  </pic:blipFill>
                  <pic:spPr>
                    <a:xfrm>
                      <a:off x="0" y="0"/>
                      <a:ext cx="3054985" cy="3912870"/>
                    </a:xfrm>
                    <a:prstGeom prst="rect">
                      <a:avLst/>
                    </a:prstGeom>
                  </pic:spPr>
                </pic:pic>
              </a:graphicData>
            </a:graphic>
            <wp14:sizeRelH relativeFrom="page">
              <wp14:pctWidth>0</wp14:pctWidth>
            </wp14:sizeRelH>
            <wp14:sizeRelV relativeFrom="page">
              <wp14:pctHeight>0</wp14:pctHeight>
            </wp14:sizeRelV>
          </wp:anchor>
        </w:drawing>
      </w:r>
      <w:r>
        <w:t xml:space="preserve">simply bleaching dirty clothing without the worry of ruining a colorful outfit. </w:t>
      </w:r>
      <w:r w:rsidR="004F474C">
        <w:t>S</w:t>
      </w:r>
      <w:r w:rsidR="00714D8F">
        <w:t>urprisingly to Americans today, b</w:t>
      </w:r>
      <w:r>
        <w:t xml:space="preserve">oys did not stop wearing these dresses until the age of 6, when they also got their first </w:t>
      </w:r>
      <w:r w:rsidR="00CB0E41">
        <w:t>haircuts</w:t>
      </w:r>
      <w:r>
        <w:t xml:space="preserve"> (</w:t>
      </w:r>
      <w:r w:rsidR="00714D8F">
        <w:t>Maglaty</w:t>
      </w:r>
      <w:r>
        <w:t xml:space="preserve">). </w:t>
      </w:r>
      <w:r w:rsidR="006C19F1">
        <w:t>Figur</w:t>
      </w:r>
      <w:r w:rsidR="00923855">
        <w:t xml:space="preserve">e 1, right, </w:t>
      </w:r>
      <w:r w:rsidR="006C19F1">
        <w:t>a</w:t>
      </w:r>
      <w:r>
        <w:t xml:space="preserve"> famous picture of Franklin Delano Roosevelt at </w:t>
      </w:r>
      <w:r w:rsidR="00CB0E41">
        <w:t>two and a half</w:t>
      </w:r>
      <w:r>
        <w:t xml:space="preserve"> years old</w:t>
      </w:r>
      <w:r w:rsidR="006C19F1">
        <w:t>,</w:t>
      </w:r>
      <w:r w:rsidR="00F14FA3">
        <w:t xml:space="preserve"> </w:t>
      </w:r>
      <w:r>
        <w:t>depicts this popular attire, and many paintings from the era show both young boys and girls playing in their gender neutral dresses.</w:t>
      </w:r>
      <w:r w:rsidR="00325FC6">
        <w:t xml:space="preserve"> Despite the immense popu</w:t>
      </w:r>
      <w:r w:rsidR="00A85CAD">
        <w:t xml:space="preserve">larity of this movement in the </w:t>
      </w:r>
      <w:r w:rsidR="00325FC6">
        <w:t xml:space="preserve">1800’s, </w:t>
      </w:r>
      <w:r w:rsidR="000D4059">
        <w:t>the age of gender neutral clothing ended with the introduction of pastel colors for babies</w:t>
      </w:r>
      <w:r w:rsidR="00325FC6">
        <w:t xml:space="preserve"> into the American market</w:t>
      </w:r>
      <w:r w:rsidR="000D4059">
        <w:t>.</w:t>
      </w:r>
    </w:p>
    <w:p w14:paraId="70262591" w14:textId="56B45A0B" w:rsidR="000D4059" w:rsidRDefault="000D4059" w:rsidP="00015456">
      <w:pPr>
        <w:spacing w:after="0" w:line="480" w:lineRule="auto"/>
      </w:pPr>
      <w:r>
        <w:tab/>
        <w:t>Around the mid-</w:t>
      </w:r>
      <w:r w:rsidR="009358D0">
        <w:t>nineteenth</w:t>
      </w:r>
      <w:r>
        <w:t xml:space="preserve"> century, manufacturers began selling baby clothes in pastel colors of pink and blue. However, instead of using pink to identify girls and blue to identify boys as Americans do today, most parents used exactly the opposite conventions. In fact, several </w:t>
      </w:r>
      <w:r w:rsidR="00B40B61">
        <w:t>magazine</w:t>
      </w:r>
      <w:r w:rsidR="00E46125">
        <w:t>s</w:t>
      </w:r>
      <w:r w:rsidR="00B40B61">
        <w:t xml:space="preserve"> of the era discuss</w:t>
      </w:r>
      <w:r>
        <w:t xml:space="preserve"> the proper </w:t>
      </w:r>
      <w:r w:rsidR="00AC02C1">
        <w:t>attire for babies of each gender</w:t>
      </w:r>
      <w:r>
        <w:t xml:space="preserve">. In a 1914 edition of the </w:t>
      </w:r>
      <w:r w:rsidR="00B40B61">
        <w:t>Sunday Sentinel, writers advise</w:t>
      </w:r>
      <w:r>
        <w:t xml:space="preserve"> mothers to “‘use pink for the boy and blue for the girl, if you are a follower of convention’” (</w:t>
      </w:r>
      <w:r w:rsidR="00AC02C1">
        <w:t>Yoon)</w:t>
      </w:r>
      <w:r>
        <w:t>, and the Earnshaw’s Infants’ D</w:t>
      </w:r>
      <w:r w:rsidR="00B40B61">
        <w:t>epartment’s 1918 magazine states</w:t>
      </w:r>
      <w:r>
        <w:t xml:space="preserve"> that “‘the generally accepted rule is pink for the boys, and blue for the girls. The reason is that pink, being a more decided and stronger color, is more suitable for the boy, while blue, which is more delicate and dainty, is prettier for the girl’” (</w:t>
      </w:r>
      <w:r w:rsidR="00714D8F">
        <w:t>Maglaty</w:t>
      </w:r>
      <w:r>
        <w:t>).</w:t>
      </w:r>
      <w:r w:rsidR="001D2310">
        <w:t xml:space="preserve"> The reasons for this </w:t>
      </w:r>
      <w:r w:rsidR="001D2310">
        <w:lastRenderedPageBreak/>
        <w:t xml:space="preserve">convention vary, but are primarily based on the symbolism behind the colors at the time of their introduction into baby clothing. </w:t>
      </w:r>
      <w:r w:rsidR="0053759C">
        <w:t xml:space="preserve">Anne Fausto-Sterling, author of </w:t>
      </w:r>
      <w:r w:rsidR="0053759C" w:rsidRPr="00AC02C1">
        <w:rPr>
          <w:i/>
        </w:rPr>
        <w:t>Sex/Gender:  Biology in a Social World</w:t>
      </w:r>
      <w:r w:rsidR="0053759C">
        <w:t xml:space="preserve">, reveals that pink stood for </w:t>
      </w:r>
      <w:r w:rsidR="00AC02C1">
        <w:t>strength and courage, qualities</w:t>
      </w:r>
      <w:r w:rsidR="0053759C">
        <w:t xml:space="preserve"> </w:t>
      </w:r>
      <w:r w:rsidR="00AC02C1">
        <w:t xml:space="preserve">stereotypically </w:t>
      </w:r>
      <w:r w:rsidR="0053759C">
        <w:t xml:space="preserve">encouraged in men, while blue </w:t>
      </w:r>
      <w:r w:rsidR="00B40B61">
        <w:t>represented</w:t>
      </w:r>
      <w:r w:rsidR="0053759C">
        <w:t xml:space="preserve"> faith and constancy, characteristic</w:t>
      </w:r>
      <w:r w:rsidR="00AC02C1">
        <w:t>s</w:t>
      </w:r>
      <w:r w:rsidR="0053759C">
        <w:t xml:space="preserve"> of a “good wife” (</w:t>
      </w:r>
      <w:r w:rsidR="009F7BDD">
        <w:t>Fausto-Sterling</w:t>
      </w:r>
      <w:r w:rsidR="0093534A">
        <w:t xml:space="preserve"> 109</w:t>
      </w:r>
      <w:r w:rsidR="0053759C">
        <w:t xml:space="preserve">). Other arguments </w:t>
      </w:r>
      <w:r w:rsidR="00443437">
        <w:t>relate the colors</w:t>
      </w:r>
      <w:r w:rsidR="00B40B61">
        <w:t xml:space="preserve"> to the Roman goddess and god</w:t>
      </w:r>
      <w:r w:rsidR="0053759C">
        <w:t xml:space="preserve">, Venus and Mars. Mars, the Roman god of war, was typically associated with </w:t>
      </w:r>
      <w:r w:rsidR="00E46125">
        <w:t>the color red, leaving Venus to be linked to</w:t>
      </w:r>
      <w:r w:rsidR="00573A8B">
        <w:t xml:space="preserve"> blue (</w:t>
      </w:r>
      <w:r w:rsidR="009F7BDD">
        <w:t>Callahan</w:t>
      </w:r>
      <w:r w:rsidR="00573A8B">
        <w:t xml:space="preserve">). Additionally, religious institutions typically </w:t>
      </w:r>
      <w:r w:rsidR="00443437">
        <w:t>connect</w:t>
      </w:r>
      <w:r w:rsidR="00573A8B">
        <w:t xml:space="preserve"> the Virgin Mary, the mother of Jesus, with the color blue, </w:t>
      </w:r>
      <w:r w:rsidR="00E46125">
        <w:t>and thus females were typically clothed in blue as an acknowledgement of Mary’s religious significance</w:t>
      </w:r>
      <w:r w:rsidR="00D51B00">
        <w:t>. Regardless</w:t>
      </w:r>
      <w:r w:rsidR="00573A8B">
        <w:t xml:space="preserve">, these </w:t>
      </w:r>
      <w:r w:rsidR="004F474C">
        <w:t>customs</w:t>
      </w:r>
      <w:r w:rsidR="00713FD7">
        <w:t xml:space="preserve"> slowly began to morph throughout the 1920’s</w:t>
      </w:r>
      <w:r w:rsidR="00B40B61">
        <w:t xml:space="preserve"> into a closer semblance of today’s commonplace</w:t>
      </w:r>
      <w:r w:rsidR="00713FD7">
        <w:t>.</w:t>
      </w:r>
    </w:p>
    <w:p w14:paraId="027C2BCF" w14:textId="5002AC06" w:rsidR="00713FD7" w:rsidRDefault="007D3723" w:rsidP="00015456">
      <w:pPr>
        <w:spacing w:after="0" w:line="480" w:lineRule="auto"/>
      </w:pPr>
      <w:r>
        <w:rPr>
          <w:noProof/>
        </w:rPr>
        <mc:AlternateContent>
          <mc:Choice Requires="wps">
            <w:drawing>
              <wp:anchor distT="0" distB="0" distL="114300" distR="114300" simplePos="0" relativeHeight="251664384" behindDoc="0" locked="0" layoutInCell="1" allowOverlap="1" wp14:anchorId="6C312D84" wp14:editId="61CC2A04">
                <wp:simplePos x="0" y="0"/>
                <wp:positionH relativeFrom="column">
                  <wp:posOffset>-635</wp:posOffset>
                </wp:positionH>
                <wp:positionV relativeFrom="paragraph">
                  <wp:posOffset>3505200</wp:posOffset>
                </wp:positionV>
                <wp:extent cx="424053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240530" cy="635"/>
                        </a:xfrm>
                        <a:prstGeom prst="rect">
                          <a:avLst/>
                        </a:prstGeom>
                        <a:solidFill>
                          <a:prstClr val="white"/>
                        </a:solidFill>
                        <a:ln>
                          <a:noFill/>
                        </a:ln>
                        <a:effectLst/>
                      </wps:spPr>
                      <wps:txbx>
                        <w:txbxContent>
                          <w:p w14:paraId="555EBA68" w14:textId="0D8163DF" w:rsidR="007D3723" w:rsidRPr="00342E72" w:rsidRDefault="007D3723" w:rsidP="007D3723">
                            <w:pPr>
                              <w:pStyle w:val="Caption"/>
                              <w:jc w:val="center"/>
                              <w:rPr>
                                <w:noProof/>
                                <w:sz w:val="24"/>
                                <w:szCs w:val="24"/>
                              </w:rPr>
                            </w:pPr>
                            <w:r>
                              <w:t xml:space="preserve">Figure </w:t>
                            </w:r>
                            <w:r w:rsidR="00ED205B">
                              <w:fldChar w:fldCharType="begin"/>
                            </w:r>
                            <w:r w:rsidR="00ED205B">
                              <w:instrText xml:space="preserve"> SEQ Figure \* ARABIC </w:instrText>
                            </w:r>
                            <w:r w:rsidR="00ED205B">
                              <w:fldChar w:fldCharType="separate"/>
                            </w:r>
                            <w:r w:rsidR="00FA6A4F">
                              <w:rPr>
                                <w:noProof/>
                              </w:rPr>
                              <w:t>2</w:t>
                            </w:r>
                            <w:r w:rsidR="00ED205B">
                              <w:rPr>
                                <w:noProof/>
                              </w:rPr>
                              <w:fldChar w:fldCharType="end"/>
                            </w:r>
                            <w:r>
                              <w:t>. Times Magazine Baby Color Preference Chart, 1927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C312D84" id="Text Box 6" o:spid="_x0000_s1027" type="#_x0000_t202" style="position:absolute;margin-left:-.05pt;margin-top:276pt;width:333.9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" stroked="f">
                <v:textbox style="mso-fit-shape-to-text:t" inset="0,0,0,0">
                  <w:txbxContent>
                    <w:p w14:paraId="555EBA68" w14:textId="0D8163DF" w:rsidR="007D3723" w:rsidRPr="00342E72" w:rsidRDefault="007D3723" w:rsidP="007D3723">
                      <w:pPr>
                        <w:pStyle w:val="Caption"/>
                        <w:jc w:val="center"/>
                        <w:rPr>
                          <w:noProof/>
                          <w:sz w:val="24"/>
                          <w:szCs w:val="24"/>
                        </w:rPr>
                      </w:pPr>
                      <w:r>
                        <w:t xml:space="preserve">Figure </w:t>
                      </w:r>
                      <w:fldSimple w:instr=" SEQ Figure \* ARABIC ">
                        <w:r w:rsidR="00FA6A4F">
                          <w:rPr>
                            <w:noProof/>
                          </w:rPr>
                          <w:t>2</w:t>
                        </w:r>
                      </w:fldSimple>
                      <w:r>
                        <w:t>. Times Magazine Baby Color Preference Chart, 1927</w:t>
                      </w:r>
                    </w:p>
                  </w:txbxContent>
                </v:textbox>
                <w10:wrap type="square"/>
              </v:shape>
            </w:pict>
          </mc:Fallback>
        </mc:AlternateContent>
      </w:r>
      <w:r>
        <w:rPr>
          <w:noProof/>
        </w:rPr>
        <w:drawing>
          <wp:anchor distT="0" distB="0" distL="114300" distR="114300" simplePos="0" relativeHeight="251662336" behindDoc="0" locked="0" layoutInCell="1" allowOverlap="1" wp14:anchorId="7BAD85FF" wp14:editId="7477605C">
            <wp:simplePos x="0" y="0"/>
            <wp:positionH relativeFrom="margin">
              <wp:posOffset>-635</wp:posOffset>
            </wp:positionH>
            <wp:positionV relativeFrom="paragraph">
              <wp:posOffset>631276</wp:posOffset>
            </wp:positionV>
            <wp:extent cx="4240530" cy="2816860"/>
            <wp:effectExtent l="0" t="0" r="762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 Surve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0530" cy="2816860"/>
                    </a:xfrm>
                    <a:prstGeom prst="rect">
                      <a:avLst/>
                    </a:prstGeom>
                  </pic:spPr>
                </pic:pic>
              </a:graphicData>
            </a:graphic>
            <wp14:sizeRelH relativeFrom="page">
              <wp14:pctWidth>0</wp14:pctWidth>
            </wp14:sizeRelH>
            <wp14:sizeRelV relativeFrom="page">
              <wp14:pctHeight>0</wp14:pctHeight>
            </wp14:sizeRelV>
          </wp:anchor>
        </w:drawing>
      </w:r>
      <w:r w:rsidR="00713FD7">
        <w:tab/>
        <w:t xml:space="preserve">In 1927, a Time Magazine survey instilled </w:t>
      </w:r>
      <w:r w:rsidR="00DC1436">
        <w:t>un</w:t>
      </w:r>
      <w:r w:rsidR="00713FD7">
        <w:t xml:space="preserve">certainty about the typical conventions of gender </w:t>
      </w:r>
      <w:r w:rsidR="00E65675">
        <w:t>linked</w:t>
      </w:r>
      <w:r w:rsidR="00713FD7">
        <w:t xml:space="preserve"> colors. </w:t>
      </w:r>
      <w:r>
        <w:t xml:space="preserve">Figure 2, </w:t>
      </w:r>
      <w:r w:rsidR="000301EE">
        <w:t>below</w:t>
      </w:r>
      <w:r>
        <w:t>,</w:t>
      </w:r>
      <w:r w:rsidR="000301EE">
        <w:t xml:space="preserve"> shows that u</w:t>
      </w:r>
      <w:r w:rsidR="00713FD7">
        <w:t xml:space="preserve">pon interviewing </w:t>
      </w:r>
      <w:r w:rsidR="00AA3B68">
        <w:t>several</w:t>
      </w:r>
      <w:r w:rsidR="00473EF0">
        <w:t xml:space="preserve"> department</w:t>
      </w:r>
      <w:r w:rsidR="00AA3B68">
        <w:t xml:space="preserve"> stores throughout the United S</w:t>
      </w:r>
      <w:r w:rsidR="000301EE">
        <w:t>tates,</w:t>
      </w:r>
      <w:r w:rsidR="00473EF0">
        <w:t xml:space="preserve"> publishers discovered</w:t>
      </w:r>
      <w:r w:rsidR="00AA3B68">
        <w:t xml:space="preserve"> that although there was a slight preference of blue for girls and</w:t>
      </w:r>
      <w:r w:rsidR="00DC1436">
        <w:t xml:space="preserve"> pink for boys, </w:t>
      </w:r>
      <w:r w:rsidR="00DC1436">
        <w:lastRenderedPageBreak/>
        <w:t xml:space="preserve">the votes were </w:t>
      </w:r>
      <w:r w:rsidR="000301EE">
        <w:t xml:space="preserve">almost </w:t>
      </w:r>
      <w:r w:rsidR="004A1C8A">
        <w:t>equally</w:t>
      </w:r>
      <w:r w:rsidR="00AA3B68">
        <w:t xml:space="preserve"> split between the convention of the early 1900’s and that of today</w:t>
      </w:r>
      <w:r w:rsidR="00F2494D">
        <w:t xml:space="preserve"> (Time</w:t>
      </w:r>
      <w:r w:rsidR="00AF1F48">
        <w:t>)</w:t>
      </w:r>
      <w:r w:rsidR="00AA3B68">
        <w:t xml:space="preserve">. </w:t>
      </w:r>
      <w:r w:rsidR="00473EF0">
        <w:t>This inconsistency</w:t>
      </w:r>
      <w:r w:rsidR="00F63171">
        <w:t xml:space="preserve"> signaled that a change in the acceptance of the blue for girls and pink for </w:t>
      </w:r>
      <w:proofErr w:type="gramStart"/>
      <w:r w:rsidR="00F63171">
        <w:t>boys</w:t>
      </w:r>
      <w:proofErr w:type="gramEnd"/>
      <w:r w:rsidR="00F63171">
        <w:t xml:space="preserve"> </w:t>
      </w:r>
      <w:r w:rsidR="00473EF0">
        <w:t xml:space="preserve">model for clothing </w:t>
      </w:r>
      <w:r w:rsidR="00021837">
        <w:t>was rapidly approaching</w:t>
      </w:r>
      <w:r w:rsidR="00F63171">
        <w:t>.</w:t>
      </w:r>
    </w:p>
    <w:p w14:paraId="0B00FAED" w14:textId="013F2C32" w:rsidR="00B61AB7" w:rsidRDefault="00B61AB7" w:rsidP="007049D4">
      <w:pPr>
        <w:spacing w:after="0" w:line="480" w:lineRule="auto"/>
        <w:jc w:val="center"/>
      </w:pPr>
    </w:p>
    <w:p w14:paraId="4EECE79F" w14:textId="39112362" w:rsidR="0080061C" w:rsidRDefault="00A67EDE" w:rsidP="0080061C">
      <w:pPr>
        <w:spacing w:after="0" w:line="480" w:lineRule="auto"/>
        <w:ind w:firstLine="720"/>
      </w:pPr>
      <w:r>
        <w:t>During World War II, t</w:t>
      </w:r>
      <w:r w:rsidR="004E02CF">
        <w:t xml:space="preserve">he shift to today’s view of sex-appropriate colors </w:t>
      </w:r>
      <w:r>
        <w:t>underwent its most influential period of development</w:t>
      </w:r>
      <w:r w:rsidR="004E02CF">
        <w:t xml:space="preserve">. </w:t>
      </w:r>
      <w:r w:rsidR="0080061C">
        <w:t>By far, the most controversial factor for the color-gender association switch is the labeling of homosexuals by Adolf Hitler. During WWII, Hitler commanded that homosexual prisoners be characterized more obviously in concentrat</w:t>
      </w:r>
      <w:r w:rsidR="004E02CF">
        <w:t>ion camps, and thus branded their clothing</w:t>
      </w:r>
      <w:r w:rsidR="0080061C">
        <w:t xml:space="preserve"> with a pink triangle (Bates). </w:t>
      </w:r>
      <w:r w:rsidR="00CE0823">
        <w:t xml:space="preserve">Some people researching this shift </w:t>
      </w:r>
      <w:r w:rsidR="00E05CB2">
        <w:t>trust</w:t>
      </w:r>
      <w:r w:rsidR="00CE0823">
        <w:t xml:space="preserve"> that as a result of this order</w:t>
      </w:r>
      <w:r w:rsidR="0080061C">
        <w:t>,</w:t>
      </w:r>
      <w:r w:rsidR="00CE0823">
        <w:t xml:space="preserve"> </w:t>
      </w:r>
      <w:r w:rsidR="0080061C">
        <w:t>pink was more closely associated with femininity, as homosexuality was seen as a disgrace to men during this time period</w:t>
      </w:r>
      <w:r w:rsidR="000025F4">
        <w:t xml:space="preserve"> (Ford)</w:t>
      </w:r>
      <w:r w:rsidR="0080061C">
        <w:t xml:space="preserve">. </w:t>
      </w:r>
      <w:r w:rsidR="00CE0823">
        <w:t>It is a popular belief that t</w:t>
      </w:r>
      <w:r w:rsidR="0080061C">
        <w:t xml:space="preserve">his association further argued that the pink for girls convention be adopted into American culture. However, it is important to note there are many doubts associated with this theory. Jo Paoletti argues that although the pink triangles were used, they were mainly concentrated to the </w:t>
      </w:r>
      <w:r w:rsidR="005E182B">
        <w:t>Dachau</w:t>
      </w:r>
      <w:r w:rsidR="0080061C">
        <w:t xml:space="preserve"> camp, and that their use was not limited to homosexuals; sexual offenders were given the same pink triangle upon entering concentration camps (Paoletti). Additionally,</w:t>
      </w:r>
      <w:r w:rsidR="0074229F">
        <w:t xml:space="preserve"> it is possible that</w:t>
      </w:r>
      <w:r w:rsidR="0080061C">
        <w:t xml:space="preserve"> </w:t>
      </w:r>
      <w:r w:rsidR="00EB575B">
        <w:t xml:space="preserve">the </w:t>
      </w:r>
      <w:r w:rsidR="0080061C">
        <w:t>recognition of this branding occurred too long after the color changes occurred, and thus played little to no part in influencing the shift. Regardless, it is still important to note this factor, which may have at least contributed to the reaffirmation of the color change in American society.</w:t>
      </w:r>
    </w:p>
    <w:p w14:paraId="70A948B0" w14:textId="0087B46D" w:rsidR="00A8641E" w:rsidRDefault="00A8641E" w:rsidP="00015456">
      <w:pPr>
        <w:spacing w:after="0" w:line="480" w:lineRule="auto"/>
      </w:pPr>
      <w:r>
        <w:tab/>
      </w:r>
      <w:r w:rsidR="00EB575B">
        <w:t>In contrast, t</w:t>
      </w:r>
      <w:r w:rsidR="000025F4">
        <w:t xml:space="preserve">he most direct influence of the </w:t>
      </w:r>
      <w:r w:rsidR="000C3EEF">
        <w:t>shift in</w:t>
      </w:r>
      <w:r w:rsidR="000025F4">
        <w:t xml:space="preserve"> baby color conventions </w:t>
      </w:r>
      <w:r>
        <w:t xml:space="preserve">was the change in American preference </w:t>
      </w:r>
      <w:r w:rsidR="00D54B9A">
        <w:t>of color association as a result of direct influences of the war. While men were overseas fighting the Axis powers in WWII, Rosie the Riveter became a popular image of women dawning their “factory blues” and contributing to the war effort</w:t>
      </w:r>
      <w:r w:rsidR="000025F4">
        <w:t xml:space="preserve">. </w:t>
      </w:r>
      <w:r w:rsidR="000025F4">
        <w:lastRenderedPageBreak/>
        <w:t xml:space="preserve">Women were </w:t>
      </w:r>
      <w:r w:rsidR="008A4FF5">
        <w:t>filling</w:t>
      </w:r>
      <w:r w:rsidR="00D54B9A">
        <w:t xml:space="preserve"> what </w:t>
      </w:r>
      <w:r w:rsidR="00AA38B6">
        <w:t>were commonly</w:t>
      </w:r>
      <w:r w:rsidR="00D54B9A">
        <w:t xml:space="preserve"> known as men’s jobs</w:t>
      </w:r>
      <w:r w:rsidR="00BA30BE">
        <w:t xml:space="preserve"> that became deserted after men left home to fight</w:t>
      </w:r>
      <w:r w:rsidR="000025F4">
        <w:t xml:space="preserve"> in WWII</w:t>
      </w:r>
      <w:r w:rsidR="006C19F1">
        <w:t>, defying the gender stereotypes of the age that required that women be involved only in domestic affairs</w:t>
      </w:r>
      <w:r w:rsidR="00D54B9A">
        <w:t xml:space="preserve"> (</w:t>
      </w:r>
      <w:r w:rsidR="008A4FF5">
        <w:t>Stamberg</w:t>
      </w:r>
      <w:r w:rsidR="00D54B9A">
        <w:t>). However, when the men returned from war, women were kicked out of their f</w:t>
      </w:r>
      <w:r w:rsidR="00510901">
        <w:t>actory positions and instead don</w:t>
      </w:r>
      <w:r w:rsidR="00D54B9A">
        <w:t>ned their aprons for household tasks. Once again, blue s</w:t>
      </w:r>
      <w:r w:rsidR="00BA30BE">
        <w:t>ignified</w:t>
      </w:r>
      <w:r w:rsidR="006C19F1">
        <w:t xml:space="preserve"> </w:t>
      </w:r>
      <w:r w:rsidR="00C029F6">
        <w:t xml:space="preserve">common </w:t>
      </w:r>
      <w:r w:rsidR="00BA30BE">
        <w:t>male workers, so women needed a new color to use as an identifier, opening up the floor for the acceptance of pink as a universally feminine hue.</w:t>
      </w:r>
    </w:p>
    <w:p w14:paraId="749579A6" w14:textId="6C13D00D" w:rsidR="00A97540" w:rsidRDefault="00A97540" w:rsidP="00015456">
      <w:pPr>
        <w:spacing w:after="0" w:line="480" w:lineRule="auto"/>
      </w:pPr>
      <w:r>
        <w:tab/>
        <w:t xml:space="preserve">In addition to the influence </w:t>
      </w:r>
      <w:r w:rsidR="008B2C6C">
        <w:t>of</w:t>
      </w:r>
      <w:r>
        <w:t xml:space="preserve"> the reclaiming of factory jobs by </w:t>
      </w:r>
      <w:r w:rsidR="00273C09">
        <w:t>men</w:t>
      </w:r>
      <w:r>
        <w:t xml:space="preserve">, the military uniforms of WWII also contributed to the association of blue with boys. WWII uniforms were </w:t>
      </w:r>
      <w:r w:rsidR="00273C09">
        <w:t>sewn</w:t>
      </w:r>
      <w:r>
        <w:t xml:space="preserve"> from blue cloth, so as a result, blue was associated with masculinity</w:t>
      </w:r>
      <w:r w:rsidR="00697865">
        <w:t xml:space="preserve"> (Fausto-Sterling 110)</w:t>
      </w:r>
      <w:r>
        <w:t xml:space="preserve">. Images of soldiers in blue uniforms defending the United States made their way back home, and thus the color was quickly related </w:t>
      </w:r>
      <w:r w:rsidR="00EB575B">
        <w:t>the me</w:t>
      </w:r>
      <w:r w:rsidR="00273C09">
        <w:t>n who so bravely fought to protect democracy</w:t>
      </w:r>
      <w:r>
        <w:t>.</w:t>
      </w:r>
      <w:r w:rsidR="008B2C6C">
        <w:t xml:space="preserve"> </w:t>
      </w:r>
    </w:p>
    <w:p w14:paraId="2667EB1C" w14:textId="77777777" w:rsidR="001F6D11" w:rsidRDefault="00C15EA3" w:rsidP="00015456">
      <w:pPr>
        <w:spacing w:after="0" w:line="480" w:lineRule="auto"/>
      </w:pPr>
      <w:r>
        <w:tab/>
        <w:t xml:space="preserve">Furthermore, the emergence of mass marketing forced a change in the </w:t>
      </w:r>
      <w:r w:rsidR="000025F4">
        <w:t>association</w:t>
      </w:r>
      <w:r>
        <w:t xml:space="preserve"> of sex-appropriate colors. After the industrial revolution, more goods could be produced at a lower cost because of the increased technology</w:t>
      </w:r>
      <w:r w:rsidR="003A4B49">
        <w:t xml:space="preserve"> and more efficient production methods available to manufacturers</w:t>
      </w:r>
      <w:r>
        <w:t xml:space="preserve">. WWII </w:t>
      </w:r>
      <w:r w:rsidR="003A4B49">
        <w:t>propelled</w:t>
      </w:r>
      <w:r>
        <w:t xml:space="preserve"> </w:t>
      </w:r>
      <w:r w:rsidR="003A4B49">
        <w:t xml:space="preserve">the manufacturing process </w:t>
      </w:r>
      <w:r w:rsidR="00CC53B1">
        <w:t>further ahead, since</w:t>
      </w:r>
      <w:r>
        <w:t xml:space="preserve"> a small supply of consumer items during the war led to an increased demand for products due to accumulated wealth immediately following the war’s conclusion, a new highway system allowed goods to be transported more quickly and in larger quantities, and newly developed war technology </w:t>
      </w:r>
      <w:r w:rsidR="00E54BD8">
        <w:t>accommodated</w:t>
      </w:r>
      <w:r>
        <w:t xml:space="preserve"> </w:t>
      </w:r>
      <w:r w:rsidR="00E54BD8">
        <w:t xml:space="preserve">for </w:t>
      </w:r>
      <w:r>
        <w:t>increased communication between consumers and producers (</w:t>
      </w:r>
      <w:r w:rsidR="00E54BD8">
        <w:t>McCann</w:t>
      </w:r>
      <w:r>
        <w:t>).</w:t>
      </w:r>
      <w:r w:rsidR="0012228A">
        <w:t xml:space="preserve"> Thus, </w:t>
      </w:r>
      <w:r w:rsidR="00D93759">
        <w:t xml:space="preserve">mass marketing emerged, and </w:t>
      </w:r>
      <w:r w:rsidR="00E54BD8">
        <w:t xml:space="preserve">manufacturers </w:t>
      </w:r>
      <w:r w:rsidR="0012228A">
        <w:t>could more easily get t</w:t>
      </w:r>
      <w:r w:rsidR="00D93759">
        <w:t>heir products</w:t>
      </w:r>
      <w:r w:rsidR="0000582C">
        <w:t>, including pink and blue baby attire,</w:t>
      </w:r>
      <w:r w:rsidR="00D93759">
        <w:t xml:space="preserve"> to the market, significantly increasing</w:t>
      </w:r>
      <w:r w:rsidR="0012228A">
        <w:t xml:space="preserve"> their already high sales. </w:t>
      </w:r>
    </w:p>
    <w:p w14:paraId="2568C998" w14:textId="7BB364F0" w:rsidR="00C15EA3" w:rsidRDefault="0012228A" w:rsidP="001F6D11">
      <w:pPr>
        <w:spacing w:after="0" w:line="480" w:lineRule="auto"/>
        <w:ind w:firstLine="720"/>
      </w:pPr>
      <w:r>
        <w:lastRenderedPageBreak/>
        <w:t>Because of the emergence of department store</w:t>
      </w:r>
      <w:r w:rsidR="00FD6507">
        <w:t>s</w:t>
      </w:r>
      <w:r>
        <w:t xml:space="preserve">, annual sales for manufacturers totaled over </w:t>
      </w:r>
      <w:r w:rsidR="00EB682C">
        <w:t xml:space="preserve">$17 million yearly in 1900, and </w:t>
      </w:r>
      <w:r>
        <w:t>by the 1920’s</w:t>
      </w:r>
      <w:r w:rsidR="00BD5782">
        <w:t>,</w:t>
      </w:r>
      <w:r>
        <w:t xml:space="preserve"> women’s position</w:t>
      </w:r>
      <w:r w:rsidR="00AD50BB">
        <w:t>s as household</w:t>
      </w:r>
      <w:r>
        <w:t>s</w:t>
      </w:r>
      <w:r w:rsidR="00AD50BB">
        <w:t>’</w:t>
      </w:r>
      <w:r>
        <w:t xml:space="preserve"> chief purchasers of consumer goods inspired companies to make women their target audience</w:t>
      </w:r>
      <w:r w:rsidR="00E54BD8">
        <w:t xml:space="preserve"> (Koehn</w:t>
      </w:r>
      <w:r w:rsidR="007D5F6A">
        <w:t>)</w:t>
      </w:r>
      <w:r>
        <w:t>.</w:t>
      </w:r>
      <w:r w:rsidR="00142A67">
        <w:t xml:space="preserve"> </w:t>
      </w:r>
      <w:r w:rsidR="00AD50BB">
        <w:t>Manufacturers believed</w:t>
      </w:r>
      <w:r w:rsidR="00BD5782">
        <w:t xml:space="preserve"> that there is</w:t>
      </w:r>
      <w:r w:rsidR="00D93759">
        <w:t xml:space="preserve"> no better way to appeal to mothers than through</w:t>
      </w:r>
      <w:r w:rsidR="00142A67">
        <w:t xml:space="preserve"> </w:t>
      </w:r>
      <w:r w:rsidR="00FD6507">
        <w:t>products for the</w:t>
      </w:r>
      <w:r w:rsidR="00AD50BB">
        <w:t>ir children, and t</w:t>
      </w:r>
      <w:r w:rsidR="00FD6507">
        <w:t xml:space="preserve">he easiest way </w:t>
      </w:r>
      <w:r w:rsidR="00D93759">
        <w:t xml:space="preserve">for companies </w:t>
      </w:r>
      <w:r w:rsidR="00FD6507">
        <w:t xml:space="preserve">to </w:t>
      </w:r>
      <w:r w:rsidR="00D93759">
        <w:t>incentivize the purchasing of extra merchandise by mothers</w:t>
      </w:r>
      <w:r w:rsidR="00FD6507">
        <w:t xml:space="preserve"> </w:t>
      </w:r>
      <w:r w:rsidR="00D93759">
        <w:t>was</w:t>
      </w:r>
      <w:r w:rsidR="00AD50BB">
        <w:t xml:space="preserve"> gender specific clothing. I</w:t>
      </w:r>
      <w:r w:rsidR="00FD6507">
        <w:t>n order to create more revenue, manufacturers created a s</w:t>
      </w:r>
      <w:r w:rsidR="00CC53B1">
        <w:t>pecific</w:t>
      </w:r>
      <w:r w:rsidR="00FD6507">
        <w:t xml:space="preserve"> baby color code to accommodate the preferences adopted by Americans as a result of World War II, thus completing the switch to today’s pink for gir</w:t>
      </w:r>
      <w:r w:rsidR="00E54BD8">
        <w:t xml:space="preserve">ls and blue for </w:t>
      </w:r>
      <w:proofErr w:type="gramStart"/>
      <w:r w:rsidR="00E54BD8">
        <w:t>boys</w:t>
      </w:r>
      <w:proofErr w:type="gramEnd"/>
      <w:r w:rsidR="00E54BD8">
        <w:t xml:space="preserve"> convention.</w:t>
      </w:r>
    </w:p>
    <w:p w14:paraId="400AA276" w14:textId="7AED457F" w:rsidR="00E2104C" w:rsidRDefault="007A7F07" w:rsidP="00015456">
      <w:pPr>
        <w:spacing w:after="0" w:line="480" w:lineRule="auto"/>
      </w:pPr>
      <w:r>
        <w:tab/>
        <w:t>Despite the switch of</w:t>
      </w:r>
      <w:r w:rsidR="0004161B">
        <w:t xml:space="preserve"> baby attire colors after</w:t>
      </w:r>
      <w:r w:rsidR="00F72E99">
        <w:t xml:space="preserve"> WWII, today’s current baby clothes associations faded away for a period of time during the women’s liberation movement. During the mid-1960’s, women began </w:t>
      </w:r>
      <w:r>
        <w:t>to fight for equal rights and p</w:t>
      </w:r>
      <w:r w:rsidR="00F72E99">
        <w:t xml:space="preserve">ay in </w:t>
      </w:r>
      <w:r w:rsidR="006B1FB2">
        <w:t>the wo</w:t>
      </w:r>
      <w:r w:rsidR="00EB682C">
        <w:t>rkplace, which translated into more conservative fashion choices</w:t>
      </w:r>
      <w:r w:rsidR="006B1FB2">
        <w:t xml:space="preserve">. Pants and pantsuits became increasingly popular as women began to wear </w:t>
      </w:r>
      <w:r w:rsidR="003B17F1">
        <w:t>“less feminine</w:t>
      </w:r>
      <w:r w:rsidR="004E6A13">
        <w:t>” apparel</w:t>
      </w:r>
      <w:r w:rsidR="006B1FB2">
        <w:t xml:space="preserve"> (</w:t>
      </w:r>
      <w:r w:rsidR="00714D8F">
        <w:t>Maglaty</w:t>
      </w:r>
      <w:r w:rsidR="005D6410">
        <w:t>). Furthermore, t</w:t>
      </w:r>
      <w:r w:rsidR="006B1FB2">
        <w:t>he popular association of 1960’s liberationists with “bra-b</w:t>
      </w:r>
      <w:r w:rsidR="003B17F1">
        <w:t xml:space="preserve">urning,” although a myth, clearly depicts liberationists’ </w:t>
      </w:r>
      <w:r w:rsidR="006B1FB2">
        <w:t xml:space="preserve">rejection of “feminine” clothing, </w:t>
      </w:r>
      <w:r w:rsidR="005D6410">
        <w:t>and this resulted</w:t>
      </w:r>
      <w:r w:rsidR="006B1FB2">
        <w:t xml:space="preserve"> in a drastic response by manufacturers (</w:t>
      </w:r>
      <w:r>
        <w:t>Lee</w:t>
      </w:r>
      <w:r w:rsidR="006B1FB2">
        <w:t>). Women were not buying pink for their children</w:t>
      </w:r>
      <w:r w:rsidR="0071596B">
        <w:t xml:space="preserve"> because </w:t>
      </w:r>
      <w:r w:rsidR="005D6410">
        <w:t>they believed that the color implied that women are</w:t>
      </w:r>
      <w:r w:rsidR="00AD50BB">
        <w:t xml:space="preserve"> </w:t>
      </w:r>
      <w:r w:rsidR="003B17F1">
        <w:t>weak</w:t>
      </w:r>
      <w:r w:rsidR="0071596B">
        <w:t xml:space="preserve">. Following </w:t>
      </w:r>
      <w:r w:rsidR="006B1FB2">
        <w:t>natural economic principles, manufacturers stopped p</w:t>
      </w:r>
      <w:r w:rsidR="00791F85">
        <w:t>roducing pink clothing in response to the decreased demand</w:t>
      </w:r>
      <w:r w:rsidR="0071596B">
        <w:t xml:space="preserve"> for these items by female consumers</w:t>
      </w:r>
      <w:r w:rsidR="006B1FB2">
        <w:t xml:space="preserve">. </w:t>
      </w:r>
      <w:r w:rsidR="0071596B">
        <w:t>In fact, in the Sears, Roebuck c</w:t>
      </w:r>
      <w:r w:rsidR="006B1FB2">
        <w:t>atalogs during the 1970’s, no pink toddler clothing was shown for two years, since the thought of the time was</w:t>
      </w:r>
      <w:r w:rsidR="00791F85">
        <w:t>,</w:t>
      </w:r>
      <w:r w:rsidR="006B1FB2">
        <w:t xml:space="preserve"> “‘If we dress our girls more like boys and less like frilly little girls…they are going to have more options and feel freer to be </w:t>
      </w:r>
      <w:r w:rsidR="006B1FB2">
        <w:lastRenderedPageBreak/>
        <w:t>active’” (</w:t>
      </w:r>
      <w:r w:rsidR="00714D8F">
        <w:t>Maglaty</w:t>
      </w:r>
      <w:r w:rsidR="006B1FB2">
        <w:t xml:space="preserve">). </w:t>
      </w:r>
      <w:r w:rsidR="003B17F1">
        <w:t>However, the women’s liberation movement clearly did not have a lasting effect on the</w:t>
      </w:r>
      <w:r w:rsidR="005D6410">
        <w:t xml:space="preserve"> contemporary</w:t>
      </w:r>
      <w:r w:rsidR="003B17F1">
        <w:t xml:space="preserve"> color associations in the United States.</w:t>
      </w:r>
    </w:p>
    <w:p w14:paraId="73076553" w14:textId="42DB3C89" w:rsidR="00E2104C" w:rsidRDefault="00E2104C" w:rsidP="00015456">
      <w:pPr>
        <w:spacing w:after="0" w:line="480" w:lineRule="auto"/>
      </w:pPr>
      <w:r>
        <w:tab/>
        <w:t xml:space="preserve">As the women’s liberation movement passed, current baby clothing standards were once again adopted into American culture. The main reason for this </w:t>
      </w:r>
      <w:r w:rsidR="00A318BD">
        <w:t xml:space="preserve">transformation </w:t>
      </w:r>
      <w:r>
        <w:t xml:space="preserve">was the development of pre-natal testing in the 1980’s, which allowed parents to know the gender of their coming baby during the early stages of pregnancy. </w:t>
      </w:r>
      <w:r w:rsidR="00A318BD">
        <w:t>If</w:t>
      </w:r>
      <w:r w:rsidR="00867E4B">
        <w:t xml:space="preserve"> parents were aware of </w:t>
      </w:r>
      <w:r w:rsidR="00A318BD">
        <w:t>the gender of their baby, they</w:t>
      </w:r>
      <w:r>
        <w:t xml:space="preserve"> could shop for “boy” or “girl” </w:t>
      </w:r>
      <w:r w:rsidR="00867E4B">
        <w:t xml:space="preserve">specific </w:t>
      </w:r>
      <w:r w:rsidR="004A1C8A">
        <w:t>products</w:t>
      </w:r>
      <w:r>
        <w:t>, and stores could sell</w:t>
      </w:r>
      <w:r w:rsidR="00867E4B">
        <w:t xml:space="preserve"> more specialized merchandise since</w:t>
      </w:r>
      <w:r>
        <w:t xml:space="preserve"> parents </w:t>
      </w:r>
      <w:r w:rsidR="00867E4B">
        <w:t>with multiple children would purchase</w:t>
      </w:r>
      <w:r>
        <w:t xml:space="preserve"> gender specific</w:t>
      </w:r>
      <w:r w:rsidR="00A318BD">
        <w:t xml:space="preserve"> items for children </w:t>
      </w:r>
      <w:r w:rsidR="00867E4B">
        <w:t xml:space="preserve">of each </w:t>
      </w:r>
      <w:r w:rsidR="002847B3">
        <w:t>sex</w:t>
      </w:r>
      <w:r w:rsidR="00AD50BB">
        <w:t xml:space="preserve"> (Maglaty)</w:t>
      </w:r>
      <w:r w:rsidR="00271883">
        <w:t xml:space="preserve">. </w:t>
      </w:r>
      <w:r w:rsidR="00876B86">
        <w:t>Although manufacturers too</w:t>
      </w:r>
      <w:r w:rsidR="001B0ED0">
        <w:t>k advantage of this scientific advancement</w:t>
      </w:r>
      <w:r w:rsidR="00876B86">
        <w:t xml:space="preserve"> by re-implementing standard baby attire colors</w:t>
      </w:r>
      <w:r w:rsidR="00271883">
        <w:t xml:space="preserve">, clothing was not the only product that became specialized; manufacturers noticed the same increase </w:t>
      </w:r>
      <w:r w:rsidR="0071596B">
        <w:t>in sales with differentiation of</w:t>
      </w:r>
      <w:r w:rsidR="00271883">
        <w:t xml:space="preserve"> cribs, toys, food, and other baby </w:t>
      </w:r>
      <w:r w:rsidR="004A1C8A">
        <w:t>merchandise</w:t>
      </w:r>
      <w:r w:rsidR="0071596B">
        <w:t xml:space="preserve">, so companies widened the pre-existing gap between boys and girls through their adoption of </w:t>
      </w:r>
      <w:r w:rsidR="001B0ED0">
        <w:t>new</w:t>
      </w:r>
      <w:r w:rsidR="0071596B">
        <w:t xml:space="preserve"> gender-specific products. </w:t>
      </w:r>
      <w:r w:rsidR="00271883">
        <w:t>As Jo Paoletti noticed, “‘All of a sudden it wasn’t just a blue overall; it was a blue overall with a teddy bear holding a football’” (</w:t>
      </w:r>
      <w:r w:rsidR="00714D8F">
        <w:t>Maglaty</w:t>
      </w:r>
      <w:r w:rsidR="00271883">
        <w:t>).</w:t>
      </w:r>
      <w:r w:rsidR="00544B44">
        <w:t xml:space="preserve"> </w:t>
      </w:r>
      <w:r w:rsidR="00212AEB">
        <w:t>Similarly</w:t>
      </w:r>
      <w:r w:rsidR="00544B44">
        <w:t xml:space="preserve">, mothers who grew up in the time of the women’s liberation movement rejected the unisex look for their own daughters, consuming more pink, specialized products despite their own mothers’ aversion to </w:t>
      </w:r>
      <w:r w:rsidR="00A318BD">
        <w:t>them (Maglaty)</w:t>
      </w:r>
      <w:r w:rsidR="00544B44">
        <w:t xml:space="preserve">. </w:t>
      </w:r>
      <w:r w:rsidR="00C66756">
        <w:t>Thus, the new age of gender specific color associations and increasing consumerism dawned in America.</w:t>
      </w:r>
    </w:p>
    <w:p w14:paraId="682A20C7" w14:textId="2DA9BAFF" w:rsidR="00F751E2" w:rsidRDefault="00DB1C3B" w:rsidP="00CE0C57">
      <w:pPr>
        <w:spacing w:after="0" w:line="480" w:lineRule="auto"/>
      </w:pPr>
      <w:r>
        <w:tab/>
        <w:t xml:space="preserve">Although </w:t>
      </w:r>
      <w:r w:rsidR="00213BE1">
        <w:t>a change in</w:t>
      </w:r>
      <w:r w:rsidR="00307F35">
        <w:t xml:space="preserve"> accepted baby colors may not </w:t>
      </w:r>
      <w:r w:rsidR="00D72E6A">
        <w:t>appear to be</w:t>
      </w:r>
      <w:r w:rsidR="00307F35">
        <w:t xml:space="preserve"> a life-changing shift, the residual effects of gender-color association are massive. </w:t>
      </w:r>
      <w:r w:rsidR="00500E91">
        <w:t>O</w:t>
      </w:r>
      <w:r w:rsidR="00307F35">
        <w:t xml:space="preserve">ne of the most </w:t>
      </w:r>
      <w:r w:rsidR="007F2080">
        <w:t xml:space="preserve">prevalent </w:t>
      </w:r>
      <w:r w:rsidR="00307F35">
        <w:t xml:space="preserve">ways this phenomenon </w:t>
      </w:r>
      <w:r w:rsidR="00E67EA2">
        <w:t>has caused problems in America</w:t>
      </w:r>
      <w:r w:rsidR="00307F35">
        <w:t xml:space="preserve"> is by encouraging gender stereotypes. </w:t>
      </w:r>
      <w:r w:rsidR="001F7C05">
        <w:t xml:space="preserve">Between two and three </w:t>
      </w:r>
      <w:r w:rsidR="00307F35">
        <w:t>years of age, children become aware of the importance placed on gender and show high motivation to discover what is for “boys</w:t>
      </w:r>
      <w:r w:rsidR="00842B6A">
        <w:t>” and what is for “girls” (Fine</w:t>
      </w:r>
      <w:r w:rsidR="00307F35">
        <w:t>).</w:t>
      </w:r>
      <w:r w:rsidR="00D6339E">
        <w:t xml:space="preserve"> I</w:t>
      </w:r>
      <w:r w:rsidR="00E67EA2">
        <w:t>t is at this delicate</w:t>
      </w:r>
      <w:r w:rsidR="00D6339E">
        <w:t xml:space="preserve"> </w:t>
      </w:r>
      <w:r w:rsidR="00D6339E">
        <w:lastRenderedPageBreak/>
        <w:t>developmental</w:t>
      </w:r>
      <w:r w:rsidR="00E67EA2">
        <w:t xml:space="preserve"> time that American manufacturing </w:t>
      </w:r>
      <w:r w:rsidR="00D6339E">
        <w:t xml:space="preserve">targets and </w:t>
      </w:r>
      <w:r w:rsidR="00E67EA2">
        <w:t>takes its toll on kids’ sense of gender association. Manufacturers use their knowledge that children look for ways to classify their gender to their advantage i</w:t>
      </w:r>
      <w:r w:rsidR="00842B6A">
        <w:t>n order to sell specialized products</w:t>
      </w:r>
      <w:r w:rsidR="00E67EA2">
        <w:t xml:space="preserve">. When children see advertisements with </w:t>
      </w:r>
      <w:r w:rsidR="00842B6A">
        <w:t>kids</w:t>
      </w:r>
      <w:r w:rsidR="00E67EA2">
        <w:t xml:space="preserve"> of their same gender playing with a specific toy,</w:t>
      </w:r>
      <w:r w:rsidR="002C1983">
        <w:t xml:space="preserve"> which is usually color coded to match the conventions of that sex,</w:t>
      </w:r>
      <w:r w:rsidR="00E67EA2">
        <w:t xml:space="preserve"> they identify the toy with their gender and are more likely to </w:t>
      </w:r>
      <w:r w:rsidR="00D6339E">
        <w:t>play only with</w:t>
      </w:r>
      <w:r w:rsidR="00E67EA2">
        <w:t xml:space="preserve"> these toys in order to more closely associate with </w:t>
      </w:r>
      <w:r w:rsidR="00842B6A">
        <w:t xml:space="preserve">children </w:t>
      </w:r>
      <w:r w:rsidR="00E67EA2">
        <w:t xml:space="preserve">of their </w:t>
      </w:r>
      <w:r w:rsidR="001F7C05">
        <w:t>sex</w:t>
      </w:r>
      <w:r w:rsidR="00E67EA2">
        <w:t>.</w:t>
      </w:r>
      <w:r w:rsidR="00627212">
        <w:t xml:space="preserve"> JeongMee Yoon, a </w:t>
      </w:r>
      <w:r w:rsidR="005E182B">
        <w:t>South Korean</w:t>
      </w:r>
      <w:r w:rsidR="00627212">
        <w:t xml:space="preserve"> photographer, recently </w:t>
      </w:r>
      <w:r w:rsidR="00AD50BB">
        <w:t>captured</w:t>
      </w:r>
      <w:r w:rsidR="00627212">
        <w:t xml:space="preserve"> this phenomenon in a series of </w:t>
      </w:r>
      <w:r w:rsidR="00AD50BB">
        <w:t>snapshots</w:t>
      </w:r>
      <w:r w:rsidR="00767D9A">
        <w:t xml:space="preserve">, two of which are exhibited </w:t>
      </w:r>
      <w:r w:rsidR="00B65603">
        <w:t>in Figure 3 and Figure 4</w:t>
      </w:r>
      <w:r w:rsidR="00767D9A">
        <w:t>, below,</w:t>
      </w:r>
      <w:r w:rsidR="007425E8">
        <w:t xml:space="preserve"> </w:t>
      </w:r>
      <w:r w:rsidR="001F7C05">
        <w:t>that</w:t>
      </w:r>
      <w:r w:rsidR="00627212">
        <w:t xml:space="preserve"> she </w:t>
      </w:r>
      <w:r w:rsidR="005E182B">
        <w:t>calls</w:t>
      </w:r>
      <w:r w:rsidR="00627212">
        <w:t xml:space="preserve"> the Pink and Blue project, where she photographs girls surrounded by pink “girl” toys and boys eng</w:t>
      </w:r>
      <w:r w:rsidR="007F2080">
        <w:t>ulfed in blue “boy” toys (Yoon).</w:t>
      </w:r>
      <w:r w:rsidR="00E67EA2">
        <w:t xml:space="preserve"> </w:t>
      </w:r>
      <w:r w:rsidR="007457D3">
        <w:t>These photos clearly depict the success of the marketing strategies companies employ</w:t>
      </w:r>
      <w:r w:rsidR="009E5ACD">
        <w:t xml:space="preserve"> that</w:t>
      </w:r>
      <w:r w:rsidR="006D736F">
        <w:t xml:space="preserve"> ultimately</w:t>
      </w:r>
      <w:r w:rsidR="009E5ACD">
        <w:t xml:space="preserve"> enlarge the gap between boys and girls</w:t>
      </w:r>
      <w:r w:rsidR="007457D3">
        <w:t>.</w:t>
      </w:r>
      <w:r w:rsidR="00767D9A">
        <w:t xml:space="preserve"> </w:t>
      </w:r>
    </w:p>
    <w:p w14:paraId="308119AB" w14:textId="77777777" w:rsidR="00FA6A4F" w:rsidRDefault="00E65861" w:rsidP="00FA6A4F">
      <w:pPr>
        <w:keepNext/>
        <w:spacing w:after="0" w:line="480" w:lineRule="auto"/>
      </w:pPr>
      <w:r>
        <w:rPr>
          <w:noProof/>
        </w:rPr>
        <w:drawing>
          <wp:anchor distT="0" distB="0" distL="114300" distR="114300" simplePos="0" relativeHeight="251658240" behindDoc="0" locked="0" layoutInCell="1" allowOverlap="1" wp14:anchorId="58C38801" wp14:editId="047CE661">
            <wp:simplePos x="0" y="0"/>
            <wp:positionH relativeFrom="margin">
              <wp:align>right</wp:align>
            </wp:positionH>
            <wp:positionV relativeFrom="paragraph">
              <wp:posOffset>13335</wp:posOffset>
            </wp:positionV>
            <wp:extent cx="2958465" cy="29584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ke and His Blue Things_m.jpg"/>
                    <pic:cNvPicPr/>
                  </pic:nvPicPr>
                  <pic:blipFill>
                    <a:blip r:embed="rId10">
                      <a:extLst>
                        <a:ext uri="{28A0092B-C50C-407E-A947-70E740481C1C}">
                          <a14:useLocalDpi xmlns:a14="http://schemas.microsoft.com/office/drawing/2010/main" val="0"/>
                        </a:ext>
                      </a:extLst>
                    </a:blip>
                    <a:stretch>
                      <a:fillRect/>
                    </a:stretch>
                  </pic:blipFill>
                  <pic:spPr>
                    <a:xfrm>
                      <a:off x="0" y="0"/>
                      <a:ext cx="2958465" cy="2958465"/>
                    </a:xfrm>
                    <a:prstGeom prst="rect">
                      <a:avLst/>
                    </a:prstGeom>
                  </pic:spPr>
                </pic:pic>
              </a:graphicData>
            </a:graphic>
            <wp14:sizeRelH relativeFrom="margin">
              <wp14:pctWidth>0</wp14:pctWidth>
            </wp14:sizeRelH>
            <wp14:sizeRelV relativeFrom="margin">
              <wp14:pctHeight>0</wp14:pctHeight>
            </wp14:sizeRelV>
          </wp:anchor>
        </w:drawing>
      </w:r>
      <w:r w:rsidR="007425E8">
        <w:rPr>
          <w:noProof/>
        </w:rPr>
        <w:drawing>
          <wp:inline distT="0" distB="0" distL="0" distR="0" wp14:anchorId="178145D1" wp14:editId="6DC4B63A">
            <wp:extent cx="2970266" cy="2970266"/>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yeun and Her Pink Things_m.jpg"/>
                    <pic:cNvPicPr/>
                  </pic:nvPicPr>
                  <pic:blipFill>
                    <a:blip r:embed="rId11">
                      <a:extLst>
                        <a:ext uri="{28A0092B-C50C-407E-A947-70E740481C1C}">
                          <a14:useLocalDpi xmlns:a14="http://schemas.microsoft.com/office/drawing/2010/main" val="0"/>
                        </a:ext>
                      </a:extLst>
                    </a:blip>
                    <a:stretch>
                      <a:fillRect/>
                    </a:stretch>
                  </pic:blipFill>
                  <pic:spPr>
                    <a:xfrm>
                      <a:off x="0" y="0"/>
                      <a:ext cx="2973184" cy="2973184"/>
                    </a:xfrm>
                    <a:prstGeom prst="rect">
                      <a:avLst/>
                    </a:prstGeom>
                  </pic:spPr>
                </pic:pic>
              </a:graphicData>
            </a:graphic>
          </wp:inline>
        </w:drawing>
      </w:r>
    </w:p>
    <w:p w14:paraId="359DA23E" w14:textId="469ED67A" w:rsidR="007425E8" w:rsidRDefault="00FA6A4F" w:rsidP="00FA6A4F">
      <w:pPr>
        <w:pStyle w:val="Caption"/>
        <w:ind w:firstLine="720"/>
      </w:pPr>
      <w:r>
        <w:t xml:space="preserve">Figure </w:t>
      </w:r>
      <w:r w:rsidR="00ED205B">
        <w:fldChar w:fldCharType="begin"/>
      </w:r>
      <w:r w:rsidR="00ED205B">
        <w:instrText xml:space="preserve"> SEQ</w:instrText>
      </w:r>
      <w:r w:rsidR="00ED205B">
        <w:instrText xml:space="preserve"> Figure \* ARABIC </w:instrText>
      </w:r>
      <w:r w:rsidR="00ED205B">
        <w:fldChar w:fldCharType="separate"/>
      </w:r>
      <w:r>
        <w:rPr>
          <w:noProof/>
        </w:rPr>
        <w:t>3</w:t>
      </w:r>
      <w:r w:rsidR="00ED205B">
        <w:rPr>
          <w:noProof/>
        </w:rPr>
        <w:fldChar w:fldCharType="end"/>
      </w:r>
      <w:r>
        <w:t>. Dayeun and Her Pink Things, 2006</w:t>
      </w:r>
      <w:r w:rsidRPr="00FA6A4F">
        <w:t xml:space="preserve"> </w:t>
      </w:r>
      <w:r>
        <w:tab/>
      </w:r>
      <w:r>
        <w:tab/>
      </w:r>
      <w:r w:rsidR="007E181B">
        <w:tab/>
      </w:r>
      <w:r>
        <w:t>Figure 4. Jake and His Blue Things, 2007</w:t>
      </w:r>
    </w:p>
    <w:p w14:paraId="5C2C283C" w14:textId="6BDB91B1" w:rsidR="00C66756" w:rsidRPr="00142950" w:rsidRDefault="00D6339E" w:rsidP="00F751E2">
      <w:pPr>
        <w:spacing w:after="0" w:line="480" w:lineRule="auto"/>
        <w:ind w:firstLine="720"/>
      </w:pPr>
      <w:r>
        <w:t>What makes this targeting even more unfair is that</w:t>
      </w:r>
      <w:r w:rsidR="00414177">
        <w:t xml:space="preserve"> manufacturers do not arbitrarily choos</w:t>
      </w:r>
      <w:r w:rsidR="0021183A">
        <w:t>e toys to market to each gender; companies carefully assign toys that encourage</w:t>
      </w:r>
      <w:r w:rsidR="00655C6A">
        <w:t xml:space="preserve"> children of each sex to adopt</w:t>
      </w:r>
      <w:r w:rsidR="0021183A">
        <w:t xml:space="preserve"> specific ideo</w:t>
      </w:r>
      <w:r w:rsidR="00655C6A">
        <w:t>logies</w:t>
      </w:r>
      <w:r w:rsidR="0021183A">
        <w:t>.</w:t>
      </w:r>
      <w:r w:rsidR="00414177">
        <w:t xml:space="preserve"> Typically, “boy” toys (i.e. fire trucks, toy guns,</w:t>
      </w:r>
      <w:r w:rsidR="00B03F58">
        <w:t xml:space="preserve"> and</w:t>
      </w:r>
      <w:r w:rsidR="00414177">
        <w:t xml:space="preserve"> action </w:t>
      </w:r>
      <w:r w:rsidR="00414177">
        <w:lastRenderedPageBreak/>
        <w:t xml:space="preserve">figures) promote competition, control, agency, and dominance to encourage boys to maintain power over their female counterparts. However, “girl” toys (i.e. tea sets, dolls, and horses) </w:t>
      </w:r>
      <w:r w:rsidR="0021183A">
        <w:t xml:space="preserve">typically </w:t>
      </w:r>
      <w:r w:rsidR="00414177">
        <w:t>promote cooperation and nurturance, which are thought to be submissive behaviors appropriate for a woman that mak</w:t>
      </w:r>
      <w:r w:rsidR="005B0225">
        <w:t>e her easier to manipulate (Fin</w:t>
      </w:r>
      <w:r w:rsidR="00414177">
        <w:t>e). Even at fast food institutions like McDonald’s, Happy Meals come with either “boy” toys or “girl” toys; only sometimes the toys are consider</w:t>
      </w:r>
      <w:r w:rsidR="00130682">
        <w:t>ed gender neutral</w:t>
      </w:r>
      <w:r w:rsidR="003E52B5">
        <w:t xml:space="preserve">. In fact, Antonia Ayres-Brown, a Connecticut high school student, recently challenged McDonald’s about these </w:t>
      </w:r>
      <w:r w:rsidR="004617BC">
        <w:t>gender specific toys</w:t>
      </w:r>
      <w:r w:rsidR="003E52B5">
        <w:t>, and eventually received affirmation from the company’s CEO that McDonald’s policies would be re-evaluated to ensure that toys are</w:t>
      </w:r>
      <w:r w:rsidR="00BF7DB9">
        <w:t xml:space="preserve"> distributed</w:t>
      </w:r>
      <w:r w:rsidR="003E52B5">
        <w:t xml:space="preserve"> without reference to gender (Samakow)</w:t>
      </w:r>
      <w:r w:rsidR="00130682">
        <w:t>.</w:t>
      </w:r>
      <w:r w:rsidR="00142950">
        <w:t xml:space="preserve"> </w:t>
      </w:r>
      <w:r w:rsidR="004617BC">
        <w:t>Despite this and similar efforts</w:t>
      </w:r>
      <w:r w:rsidR="003E52B5">
        <w:t>, t</w:t>
      </w:r>
      <w:r w:rsidR="00142950">
        <w:t xml:space="preserve">hese ideas </w:t>
      </w:r>
      <w:r w:rsidR="003E52B5">
        <w:t>still</w:t>
      </w:r>
      <w:r w:rsidR="00142950">
        <w:t xml:space="preserve"> exist</w:t>
      </w:r>
      <w:r w:rsidR="003E52B5">
        <w:t>, especially</w:t>
      </w:r>
      <w:r w:rsidR="00142950">
        <w:t xml:space="preserve"> in gender specific books like </w:t>
      </w:r>
      <w:r w:rsidR="00142950">
        <w:rPr>
          <w:i/>
        </w:rPr>
        <w:t xml:space="preserve">the Daring Book for Girls </w:t>
      </w:r>
      <w:r w:rsidR="00142950">
        <w:t xml:space="preserve">and </w:t>
      </w:r>
      <w:r w:rsidR="00142950">
        <w:rPr>
          <w:i/>
        </w:rPr>
        <w:t>the Dangerous Book for Boys</w:t>
      </w:r>
      <w:r w:rsidR="00142950">
        <w:t xml:space="preserve">. Topics covered by the </w:t>
      </w:r>
      <w:r>
        <w:t>“boy” book i</w:t>
      </w:r>
      <w:r w:rsidR="00142950">
        <w:t>nclude making a bow and arrow, fishing, and grammar skills</w:t>
      </w:r>
      <w:r w:rsidR="005B0225">
        <w:t xml:space="preserve"> (Iggulden</w:t>
      </w:r>
      <w:r w:rsidR="00B430FE">
        <w:t xml:space="preserve"> ix</w:t>
      </w:r>
      <w:r w:rsidR="005B0225">
        <w:t>)</w:t>
      </w:r>
      <w:r w:rsidR="00142950">
        <w:t>, while the girls’ book simplifies the interests of girls to be, or implies that the interests of a girl should only stretch so far as, slumber parties, friendship bracelets, and pr</w:t>
      </w:r>
      <w:r w:rsidR="00022B78">
        <w:t>incesses</w:t>
      </w:r>
      <w:r w:rsidR="005B0225">
        <w:t xml:space="preserve"> (Buchanan</w:t>
      </w:r>
      <w:r w:rsidR="00B430FE">
        <w:t xml:space="preserve"> vi</w:t>
      </w:r>
      <w:r w:rsidR="005B0225">
        <w:t>)</w:t>
      </w:r>
      <w:r w:rsidR="00022B78">
        <w:t>. Instances like this restrict the accepted behaviors of boys and girls unfairly, preventing girls who may enjoy computer science</w:t>
      </w:r>
      <w:r w:rsidR="00F151EC">
        <w:t>,</w:t>
      </w:r>
      <w:r w:rsidR="00022B78">
        <w:t xml:space="preserve"> or boys who may </w:t>
      </w:r>
      <w:r>
        <w:t xml:space="preserve">aspire </w:t>
      </w:r>
      <w:r w:rsidR="00022B78">
        <w:t>to become fashion designers</w:t>
      </w:r>
      <w:r w:rsidR="00F151EC">
        <w:t>,</w:t>
      </w:r>
      <w:r w:rsidR="00022B78">
        <w:t xml:space="preserve"> from developing their interests simply out of </w:t>
      </w:r>
      <w:r w:rsidR="00241C63">
        <w:t>antiquated</w:t>
      </w:r>
      <w:r>
        <w:t xml:space="preserve"> </w:t>
      </w:r>
      <w:r w:rsidR="00022B78">
        <w:t>tradition.</w:t>
      </w:r>
    </w:p>
    <w:p w14:paraId="2510682E" w14:textId="263D7B6A" w:rsidR="00130682" w:rsidRDefault="00130682" w:rsidP="00015456">
      <w:pPr>
        <w:spacing w:after="0" w:line="480" w:lineRule="auto"/>
      </w:pPr>
      <w:r>
        <w:tab/>
        <w:t>Furthermore, studies show that children think very rigidly about gender differences. In an experiment</w:t>
      </w:r>
      <w:r w:rsidR="00A83B3E">
        <w:t xml:space="preserve"> conducted by Marianne Taylor, Marjorie Rhodes, and Susan Gelman</w:t>
      </w:r>
      <w:r>
        <w:t>,</w:t>
      </w:r>
      <w:r w:rsidR="00A83B3E">
        <w:t xml:space="preserve"> researche</w:t>
      </w:r>
      <w:r w:rsidR="005B0225">
        <w:t>rs of</w:t>
      </w:r>
      <w:r w:rsidR="00A83B3E">
        <w:t xml:space="preserve"> psychology at the University of Michigan, the women discovered that “children…assume that girls always play with makeup and tea sets and boys always collect baseball cards and play with fire trucks, even if the girls and boys were never exposed to these things” (</w:t>
      </w:r>
      <w:r w:rsidR="005B0225">
        <w:t>Brown</w:t>
      </w:r>
      <w:r w:rsidR="007E247D">
        <w:t>). The reason behind these</w:t>
      </w:r>
      <w:r w:rsidR="00A83B3E">
        <w:t xml:space="preserve"> bel</w:t>
      </w:r>
      <w:r w:rsidR="007E247D">
        <w:t>iefs stems from the fact that humans</w:t>
      </w:r>
      <w:r w:rsidR="00A83B3E">
        <w:t xml:space="preserve"> have a strong drive to remember </w:t>
      </w:r>
      <w:r w:rsidR="00A83B3E">
        <w:lastRenderedPageBreak/>
        <w:t xml:space="preserve">information that is consistent with what they know or think they know. </w:t>
      </w:r>
      <w:r w:rsidR="007E247D">
        <w:t>Recognizing constants</w:t>
      </w:r>
      <w:r w:rsidR="00A83B3E">
        <w:t xml:space="preserve"> helps them navigate through </w:t>
      </w:r>
      <w:r w:rsidR="00BF7DB9">
        <w:t>unfamiliar or “scary” environments;</w:t>
      </w:r>
      <w:r w:rsidR="00A83B3E">
        <w:t xml:space="preserve"> if a child is in an unfamiliar situation, they are comforted by their knowledge of a few universal truths, and in this case, a girl</w:t>
      </w:r>
      <w:r w:rsidR="002A447A">
        <w:t>’</w:t>
      </w:r>
      <w:r w:rsidR="00A83B3E">
        <w:t>s innate d</w:t>
      </w:r>
      <w:r w:rsidR="002A447A">
        <w:t>esire to play with tea sets as</w:t>
      </w:r>
      <w:r w:rsidR="00A83B3E">
        <w:t xml:space="preserve"> opposed to fire trucks is a universal truth (</w:t>
      </w:r>
      <w:r w:rsidR="005B0225">
        <w:t>Brown</w:t>
      </w:r>
      <w:r w:rsidR="00A83B3E">
        <w:t>).</w:t>
      </w:r>
      <w:r w:rsidR="004A2B44">
        <w:t xml:space="preserve"> However, the initial establishment of this line of thinking comes from parents, who from a very early age determine a child’s gender associations based on the influence of society, and from manufacturers, who advertise specific products to children of each gender.</w:t>
      </w:r>
      <w:r w:rsidR="0002434C">
        <w:t xml:space="preserve"> Therefore, the role of gender-associated colors is indicative and influential in the promotion of unfair gender stereotypes and forces the stagnation of this issue</w:t>
      </w:r>
      <w:r w:rsidR="005C7005">
        <w:t>,</w:t>
      </w:r>
      <w:r w:rsidR="0002434C">
        <w:t xml:space="preserve"> since the convention is now so widespread.</w:t>
      </w:r>
    </w:p>
    <w:p w14:paraId="3273D280" w14:textId="3D109ECF" w:rsidR="00036BF9" w:rsidRDefault="006363F8" w:rsidP="00015456">
      <w:pPr>
        <w:spacing w:after="0" w:line="480" w:lineRule="auto"/>
      </w:pPr>
      <w:r>
        <w:tab/>
      </w:r>
      <w:r w:rsidR="00634F4E">
        <w:t>Still</w:t>
      </w:r>
      <w:r w:rsidR="00C84F46">
        <w:t>, g</w:t>
      </w:r>
      <w:r>
        <w:t>ender stereotypes are not the only</w:t>
      </w:r>
      <w:r w:rsidR="00C600F9">
        <w:t xml:space="preserve"> unintended consequence of determining sex-appropriate clothing; this commonplace also creates irrational fear </w:t>
      </w:r>
      <w:r w:rsidR="001C21AE">
        <w:t>of</w:t>
      </w:r>
      <w:r w:rsidR="00C600F9">
        <w:t xml:space="preserve"> children</w:t>
      </w:r>
      <w:r w:rsidR="001C21AE">
        <w:t xml:space="preserve"> who</w:t>
      </w:r>
      <w:r w:rsidR="00C600F9">
        <w:t xml:space="preserve"> do not want to conform to </w:t>
      </w:r>
      <w:r w:rsidR="001C21AE">
        <w:t xml:space="preserve">these </w:t>
      </w:r>
      <w:r w:rsidR="00C600F9">
        <w:t>societal standards. There have been many publicized stories about boys wanting to wear dresses that have</w:t>
      </w:r>
      <w:r w:rsidR="00FC1677">
        <w:t xml:space="preserve"> received mixed</w:t>
      </w:r>
      <w:r w:rsidR="000B1176">
        <w:t xml:space="preserve"> responses from the public. </w:t>
      </w:r>
      <w:r w:rsidR="00942FF6">
        <w:t xml:space="preserve">One little boy’s insistence on </w:t>
      </w:r>
      <w:r w:rsidR="00C33ACF">
        <w:t>defying gender stereotypes</w:t>
      </w:r>
      <w:r w:rsidR="00942FF6">
        <w:t xml:space="preserve"> inspired </w:t>
      </w:r>
      <w:r w:rsidR="004A1C8A">
        <w:t>an</w:t>
      </w:r>
      <w:r w:rsidR="00942FF6">
        <w:t xml:space="preserve"> accepting mother to write a children’s novel called </w:t>
      </w:r>
      <w:r w:rsidR="00942FF6">
        <w:rPr>
          <w:i/>
        </w:rPr>
        <w:t xml:space="preserve">My Princess Boy, </w:t>
      </w:r>
      <w:r w:rsidR="00942FF6">
        <w:t>which encourages children to “embrace uniqueness” (Dube)</w:t>
      </w:r>
      <w:r w:rsidR="00D63812">
        <w:t>.</w:t>
      </w:r>
      <w:r w:rsidR="000B1176">
        <w:t xml:space="preserve"> </w:t>
      </w:r>
      <w:r w:rsidR="00222D7F">
        <w:t>However, not all people are so open to discussions about boys breaking these societal norms. T</w:t>
      </w:r>
      <w:r w:rsidR="000B1176">
        <w:t>he reason for the negative responses to these stories mainly stem</w:t>
      </w:r>
      <w:r w:rsidR="000744F9">
        <w:t>s</w:t>
      </w:r>
      <w:r w:rsidR="000B1176">
        <w:t xml:space="preserve"> from people’s </w:t>
      </w:r>
      <w:r w:rsidR="00F26ABC">
        <w:t>concept of</w:t>
      </w:r>
      <w:r w:rsidR="000B1176">
        <w:t xml:space="preserve"> “women’s” clothes</w:t>
      </w:r>
      <w:r w:rsidR="00C33ACF">
        <w:t xml:space="preserve">. As previously mentioned, young boys wore </w:t>
      </w:r>
      <w:r w:rsidR="000B1176">
        <w:t xml:space="preserve">dresses in the early 1800’s, so there is precedent for this desire. </w:t>
      </w:r>
      <w:r w:rsidR="00F26ABC">
        <w:t>Yet</w:t>
      </w:r>
      <w:r w:rsidR="000B1176">
        <w:t xml:space="preserve">, because </w:t>
      </w:r>
      <w:r w:rsidR="00757F18">
        <w:t xml:space="preserve">the </w:t>
      </w:r>
      <w:r w:rsidR="000B1176">
        <w:t xml:space="preserve">idea </w:t>
      </w:r>
      <w:r w:rsidR="00757F18">
        <w:t xml:space="preserve">of a boy wearing a dress </w:t>
      </w:r>
      <w:r w:rsidR="00C33ACF">
        <w:t xml:space="preserve">violates today’s </w:t>
      </w:r>
      <w:r w:rsidR="000B1176">
        <w:t xml:space="preserve">standard of dress, people have </w:t>
      </w:r>
      <w:r w:rsidR="00C33ACF">
        <w:t xml:space="preserve">difficulty </w:t>
      </w:r>
      <w:r w:rsidR="000B1176">
        <w:t xml:space="preserve">imagining that these behaviors can be acceptable. </w:t>
      </w:r>
      <w:r w:rsidR="00FC1677">
        <w:t xml:space="preserve"> </w:t>
      </w:r>
      <w:r w:rsidR="00CE46B3">
        <w:t>The issue of non-conformity is especially prominent in religious communities. In one Catholic advice forum, a father was told that his son’s “feminine behaviors,” which included watching a television show about a princess and holding his wrist limply, needed to be corrected (</w:t>
      </w:r>
      <w:r w:rsidR="00757F18">
        <w:t>B.A.</w:t>
      </w:r>
      <w:r w:rsidR="00CE46B3">
        <w:t xml:space="preserve">). The site </w:t>
      </w:r>
      <w:r w:rsidR="00036BF9">
        <w:t xml:space="preserve">continues </w:t>
      </w:r>
      <w:r w:rsidR="00036BF9">
        <w:lastRenderedPageBreak/>
        <w:t>by identifying</w:t>
      </w:r>
      <w:r w:rsidR="00CE46B3">
        <w:t xml:space="preserve"> multiple suspicious, nonconforming behaviors, inc</w:t>
      </w:r>
      <w:r w:rsidR="00F26ABC">
        <w:t>luding “girly” stance and high</w:t>
      </w:r>
      <w:r w:rsidR="00CE46B3">
        <w:t xml:space="preserve"> pitched, nasally voices among other traits</w:t>
      </w:r>
      <w:r w:rsidR="00215231">
        <w:t xml:space="preserve">, </w:t>
      </w:r>
      <w:r w:rsidR="00036BF9">
        <w:t>and another article</w:t>
      </w:r>
      <w:r w:rsidR="00757F18">
        <w:t xml:space="preserve"> labels this phenomenon as </w:t>
      </w:r>
      <w:r w:rsidR="00215231">
        <w:t>“Childhood Gender Identity Disorder” (</w:t>
      </w:r>
      <w:r w:rsidR="00757F18">
        <w:t>Fitzgibbons</w:t>
      </w:r>
      <w:r w:rsidR="00215231">
        <w:t>).</w:t>
      </w:r>
      <w:r w:rsidR="00F26ABC">
        <w:t xml:space="preserve"> The forum</w:t>
      </w:r>
      <w:r w:rsidR="00CE46B3">
        <w:t xml:space="preserve"> even goes as far as to suggest enrolling their son in a martial arts class or taking him out fishing and hunting more of</w:t>
      </w:r>
      <w:r w:rsidR="0094430C">
        <w:t xml:space="preserve">ten, thinking that his current </w:t>
      </w:r>
      <w:r w:rsidR="00C33ACF">
        <w:t>effeminate</w:t>
      </w:r>
      <w:r w:rsidR="00CE46B3">
        <w:t xml:space="preserve"> behaviors automatically imply homosexuality</w:t>
      </w:r>
      <w:r w:rsidR="00C33ACF">
        <w:t xml:space="preserve"> and that the suggest</w:t>
      </w:r>
      <w:r w:rsidR="00F26ABC">
        <w:t xml:space="preserve">ed activities are for “men.” </w:t>
      </w:r>
      <w:r w:rsidR="0081524C">
        <w:t xml:space="preserve">However, what these religious leaders fail to consider is that effeminacy is not just feminine; </w:t>
      </w:r>
      <w:r w:rsidR="0094430C">
        <w:t>having</w:t>
      </w:r>
      <w:r w:rsidR="0081524C">
        <w:t xml:space="preserve"> early “feminine tendencies”</w:t>
      </w:r>
      <w:r w:rsidR="00215231">
        <w:t xml:space="preserve"> </w:t>
      </w:r>
      <w:r w:rsidR="0094430C">
        <w:t xml:space="preserve">is not a guarantee that a boy </w:t>
      </w:r>
      <w:r w:rsidR="00C33ACF">
        <w:t>will become</w:t>
      </w:r>
      <w:r w:rsidR="00F26ABC">
        <w:t>, or is,</w:t>
      </w:r>
      <w:r w:rsidR="00C33ACF">
        <w:t xml:space="preserve"> homosexual. </w:t>
      </w:r>
      <w:r w:rsidR="00885177">
        <w:t xml:space="preserve">While this problem is more prevalent in and severe for boys who defy societal norms, </w:t>
      </w:r>
      <w:r w:rsidR="00FE2DCE">
        <w:t>g</w:t>
      </w:r>
      <w:r w:rsidR="00885177">
        <w:t>irls who play with trucks or throw footballs</w:t>
      </w:r>
      <w:r w:rsidR="00FE2DCE">
        <w:t xml:space="preserve"> </w:t>
      </w:r>
      <w:r w:rsidR="00885177">
        <w:t xml:space="preserve">are also scolded for rejecting the standards that manufacturers encourage. </w:t>
      </w:r>
    </w:p>
    <w:p w14:paraId="01797326" w14:textId="008B2BF3" w:rsidR="004A2B44" w:rsidRDefault="00FE2DCE" w:rsidP="00036BF9">
      <w:pPr>
        <w:spacing w:after="0" w:line="480" w:lineRule="auto"/>
        <w:ind w:firstLine="720"/>
      </w:pPr>
      <w:r>
        <w:t>This fear of nonconformity to accepted ideals is truly concerning, as it causes some children to feel uncomfortable i</w:t>
      </w:r>
      <w:r w:rsidR="00335A2F">
        <w:t>n their own skin. There are many news reports about children who have committed suicide because other students called them derogatory names implying homosexuality.</w:t>
      </w:r>
      <w:r w:rsidR="00F34F2C">
        <w:t xml:space="preserve"> </w:t>
      </w:r>
      <w:r w:rsidR="00066875">
        <w:t xml:space="preserve">Caitlin Ryan, director of Adolescent Health </w:t>
      </w:r>
      <w:r w:rsidR="00066875" w:rsidRPr="00066875">
        <w:t>Initiatives at the Cesar Chavez Institute at San Francisco State University</w:t>
      </w:r>
      <w:r w:rsidR="00066875">
        <w:t xml:space="preserve">, estimates that kids who experienced high levels of rejection were 8.5 times more likely to have attempted suicide (Shapiro). </w:t>
      </w:r>
      <w:r w:rsidR="00335A2F">
        <w:t>The fact that these stereotypes can cause the death of innocent children is truly terrifying, and color-gender associations strongly contribute to discrimination against those who do not conform.</w:t>
      </w:r>
    </w:p>
    <w:p w14:paraId="0D29F594" w14:textId="4362DB42" w:rsidR="002A42EA" w:rsidRDefault="00015456" w:rsidP="003E52B5">
      <w:pPr>
        <w:spacing w:line="480" w:lineRule="auto"/>
      </w:pPr>
      <w:r>
        <w:tab/>
        <w:t xml:space="preserve">Therefore, the </w:t>
      </w:r>
      <w:r w:rsidR="00763238">
        <w:t>paradigm shift</w:t>
      </w:r>
      <w:r>
        <w:t xml:space="preserve"> of sex-appropriate colors for babies as a result of WWII determinants and an emerging system of mass marketing in the 1950’s United States </w:t>
      </w:r>
      <w:r w:rsidR="00763238">
        <w:t xml:space="preserve">is not isolated to effects during the 1950’s; it also </w:t>
      </w:r>
      <w:r>
        <w:t>significantly impacts society today.</w:t>
      </w:r>
      <w:r w:rsidR="00420123">
        <w:t xml:space="preserve"> The color-gender associations of a blue for boys, pink for girls marketing phenomenon </w:t>
      </w:r>
      <w:r w:rsidR="00482DFB">
        <w:t>are</w:t>
      </w:r>
      <w:r w:rsidR="004E2805">
        <w:t xml:space="preserve"> used in ploys to sell more specialized merchandise to consumers. Although solely blue and pink merchandising has </w:t>
      </w:r>
      <w:r w:rsidR="004E2805">
        <w:lastRenderedPageBreak/>
        <w:t>become appropriated by manufacturers for use as a</w:t>
      </w:r>
      <w:r w:rsidR="00D76169">
        <w:t xml:space="preserve"> seemingly innocent</w:t>
      </w:r>
      <w:r w:rsidR="004E2805">
        <w:t xml:space="preserve"> marketing</w:t>
      </w:r>
      <w:r w:rsidR="00036BF9">
        <w:t xml:space="preserve"> tool,</w:t>
      </w:r>
      <w:r w:rsidR="004E2805">
        <w:t xml:space="preserve"> it also effectively encourages common gender stereotypes that are harmful for a child’s progression in society. </w:t>
      </w:r>
      <w:r w:rsidR="00E65675">
        <w:t>More</w:t>
      </w:r>
      <w:r w:rsidR="004E2805">
        <w:t xml:space="preserve"> dramatically, these gender-color associations create a fear of the unknown, as girls who break these stereotypes are typically looked down upon as naïve, while boys who more closely relate to “feminine” products and behaviors are relentlessly abused and scolded by members of religious groups and members of society as a whole. Nonconforming boys are mocked for homosexuality, which reduces self-esteem and leads to increased adolescent suicides. </w:t>
      </w:r>
      <w:r w:rsidR="000D5829">
        <w:t>Although there is nothing directly wrong with slight color preferences among gender, Americans today have pushed the sex-appropriateness of pink and blue</w:t>
      </w:r>
      <w:r w:rsidR="00AF54E4">
        <w:t xml:space="preserve">, an ultimately </w:t>
      </w:r>
      <w:r w:rsidR="00BF7DB9">
        <w:t>superficial and useless classification,</w:t>
      </w:r>
      <w:r w:rsidR="000D5829">
        <w:t xml:space="preserve"> to a level that is beyond an acceptable point for allowing people of both genders freedom to pursue their interests and be who they want to be. </w:t>
      </w:r>
      <w:r w:rsidR="003E3180">
        <w:t xml:space="preserve">When picking the “wrong” colored shirt out of </w:t>
      </w:r>
      <w:r w:rsidR="00763238">
        <w:t>the closet</w:t>
      </w:r>
      <w:r w:rsidR="003E3180">
        <w:t xml:space="preserve"> inspire</w:t>
      </w:r>
      <w:r w:rsidR="00763238">
        <w:t>s</w:t>
      </w:r>
      <w:r w:rsidR="003E3180">
        <w:t xml:space="preserve"> harassment that may lead to the death of a child, a change needs to be made.</w:t>
      </w:r>
      <w:r w:rsidR="002A42EA">
        <w:br w:type="page"/>
      </w:r>
    </w:p>
    <w:p w14:paraId="498B28E6" w14:textId="77777777" w:rsidR="00CC1674" w:rsidRPr="00D41655" w:rsidRDefault="00CC1674" w:rsidP="00015456">
      <w:pPr>
        <w:shd w:val="clear" w:color="auto" w:fill="FFFFFF"/>
        <w:spacing w:after="0" w:line="480" w:lineRule="auto"/>
        <w:jc w:val="center"/>
        <w:rPr>
          <w:rFonts w:eastAsia="Times New Roman"/>
          <w:color w:val="000000"/>
        </w:rPr>
      </w:pPr>
      <w:r w:rsidRPr="00D41655">
        <w:rPr>
          <w:rFonts w:eastAsia="Times New Roman"/>
          <w:color w:val="000000"/>
        </w:rPr>
        <w:lastRenderedPageBreak/>
        <w:t>Works Cited</w:t>
      </w:r>
    </w:p>
    <w:p w14:paraId="16BFBCE9" w14:textId="228057AD" w:rsidR="00CD60D2" w:rsidRDefault="00CD60D2" w:rsidP="00015456">
      <w:pPr>
        <w:shd w:val="clear" w:color="auto" w:fill="FFFFFF"/>
        <w:spacing w:after="0" w:line="480" w:lineRule="auto"/>
        <w:ind w:left="456" w:hanging="600"/>
        <w:rPr>
          <w:rFonts w:eastAsia="Times New Roman"/>
          <w:color w:val="000000"/>
        </w:rPr>
      </w:pPr>
      <w:r w:rsidRPr="00CD60D2">
        <w:rPr>
          <w:rFonts w:eastAsia="Times New Roman"/>
          <w:color w:val="000000"/>
        </w:rPr>
        <w:t>1884.</w:t>
      </w:r>
      <w:r w:rsidRPr="00CD60D2">
        <w:rPr>
          <w:rFonts w:eastAsia="Times New Roman"/>
        </w:rPr>
        <w:t> </w:t>
      </w:r>
      <w:r w:rsidRPr="00CD60D2">
        <w:rPr>
          <w:rFonts w:eastAsia="Times New Roman"/>
          <w:color w:val="000000"/>
        </w:rPr>
        <w:t>Smithsonian.com. By Jeanne Maglaty. Web. 21 Oct. 2014. &lt;http://www.smithsonianmag.com/arts-culture/when-did-girls-start-wearing-pink-1370097/?no-ist=&amp;page=2&gt;.</w:t>
      </w:r>
    </w:p>
    <w:p w14:paraId="7AACEB56"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B., A. "Should Boys with Feminine Tendencies Be Corrected?" Letter to Marian Horvat, Ph.D. 6 June 2013. </w:t>
      </w:r>
      <w:r w:rsidRPr="00D41655">
        <w:rPr>
          <w:rFonts w:eastAsia="Times New Roman"/>
          <w:i/>
          <w:iCs/>
          <w:color w:val="000000"/>
        </w:rPr>
        <w:t>Should Boys with Feminine Tendencies Be Corrected?</w:t>
      </w:r>
      <w:r w:rsidRPr="00D41655">
        <w:rPr>
          <w:rFonts w:eastAsia="Times New Roman"/>
          <w:color w:val="000000"/>
        </w:rPr>
        <w:t> Tradition in Action, Inc., 6 June 2013. Web. 21 Oct. 2014. &lt;http://www.traditioninaction.org/Questions/G009_Boys.html&gt;.</w:t>
      </w:r>
    </w:p>
    <w:p w14:paraId="56CD3A6D"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Bates, Claire. "Should We Not Dress Girls in Pink?" </w:t>
      </w:r>
      <w:r w:rsidRPr="00D41655">
        <w:rPr>
          <w:rFonts w:eastAsia="Times New Roman"/>
          <w:i/>
          <w:iCs/>
          <w:color w:val="000000"/>
        </w:rPr>
        <w:t>BBC News</w:t>
      </w:r>
      <w:r w:rsidRPr="00D41655">
        <w:rPr>
          <w:rFonts w:eastAsia="Times New Roman"/>
          <w:color w:val="000000"/>
        </w:rPr>
        <w:t>. BBC, 01 Aug. 2009. Web. 21 Oct. 2014. &lt;http://news.bbc.co.uk/2/hi/uk_news/magazine/7817496.stm&gt;.</w:t>
      </w:r>
    </w:p>
    <w:p w14:paraId="1A474EED"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 xml:space="preserve">Brown, Christia S., Ph.D. "Children's Ideas </w:t>
      </w:r>
      <w:proofErr w:type="gramStart"/>
      <w:r w:rsidRPr="00D41655">
        <w:rPr>
          <w:rFonts w:eastAsia="Times New Roman"/>
          <w:color w:val="000000"/>
        </w:rPr>
        <w:t>About</w:t>
      </w:r>
      <w:proofErr w:type="gramEnd"/>
      <w:r w:rsidRPr="00D41655">
        <w:rPr>
          <w:rFonts w:eastAsia="Times New Roman"/>
          <w:color w:val="000000"/>
        </w:rPr>
        <w:t xml:space="preserve"> Gender Differences May Surprise You." </w:t>
      </w:r>
      <w:r w:rsidRPr="00D41655">
        <w:rPr>
          <w:rFonts w:eastAsia="Times New Roman"/>
          <w:i/>
          <w:iCs/>
          <w:color w:val="000000"/>
        </w:rPr>
        <w:t>Psychology Today</w:t>
      </w:r>
      <w:r w:rsidRPr="00D41655">
        <w:rPr>
          <w:rFonts w:eastAsia="Times New Roman"/>
          <w:color w:val="000000"/>
        </w:rPr>
        <w:t>. Sussex Publishers, LLC, 16 Apr. 2014. Web. 21 Oct. 2014. &lt;http://www.psychologytoday.com/blog/beyond-pink-and-blue/201404/childrens-ideas-about-gender-differences-may-surprise-you&gt;.</w:t>
      </w:r>
    </w:p>
    <w:p w14:paraId="3CABA015"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Buchanan, Andrea J., Miriam Peskowitz, and Alexis Seabrook. </w:t>
      </w:r>
      <w:r w:rsidRPr="00D41655">
        <w:rPr>
          <w:rFonts w:eastAsia="Times New Roman"/>
          <w:i/>
          <w:iCs/>
          <w:color w:val="000000"/>
        </w:rPr>
        <w:t>The Daring Book for Girls</w:t>
      </w:r>
      <w:r w:rsidRPr="00D41655">
        <w:rPr>
          <w:rFonts w:eastAsia="Times New Roman"/>
          <w:color w:val="000000"/>
        </w:rPr>
        <w:t>. New York: Collins, 2007. Print.</w:t>
      </w:r>
    </w:p>
    <w:p w14:paraId="1F291222" w14:textId="77777777" w:rsidR="00CC1674"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Callahan, Colleen R. "History of Children's Clothing." </w:t>
      </w:r>
      <w:r w:rsidRPr="00D41655">
        <w:rPr>
          <w:rFonts w:eastAsia="Times New Roman"/>
          <w:i/>
          <w:iCs/>
          <w:color w:val="000000"/>
        </w:rPr>
        <w:t>LoveToKnow</w:t>
      </w:r>
      <w:r w:rsidRPr="00D41655">
        <w:rPr>
          <w:rFonts w:eastAsia="Times New Roman"/>
          <w:color w:val="000000"/>
        </w:rPr>
        <w:t>. LoveToKnow Corp., n.d. Web. 20 Oct. 2014. &lt;http://fashion-history.lovetoknow.com/fashion-history-eras/history-childrens-clothing&gt;.</w:t>
      </w:r>
    </w:p>
    <w:p w14:paraId="1A204B40" w14:textId="08A9DD7D" w:rsidR="001C21AE" w:rsidRPr="001C21AE" w:rsidRDefault="0013140A" w:rsidP="00015456">
      <w:pPr>
        <w:shd w:val="clear" w:color="auto" w:fill="FFFFFF"/>
        <w:spacing w:after="0" w:line="480" w:lineRule="auto"/>
        <w:ind w:left="456" w:hanging="600"/>
        <w:rPr>
          <w:color w:val="000000"/>
          <w:shd w:val="clear" w:color="auto" w:fill="FFFFFF"/>
        </w:rPr>
      </w:pPr>
      <w:r>
        <w:rPr>
          <w:color w:val="000000"/>
          <w:shd w:val="clear" w:color="auto" w:fill="FFFFFF"/>
        </w:rPr>
        <w:t>Dube, Rebecca. "The mom of a 'princess boy' s</w:t>
      </w:r>
      <w:r w:rsidR="001C21AE" w:rsidRPr="001C21AE">
        <w:rPr>
          <w:color w:val="000000"/>
          <w:shd w:val="clear" w:color="auto" w:fill="FFFFFF"/>
        </w:rPr>
        <w:t>peaks out."</w:t>
      </w:r>
      <w:r w:rsidR="001C21AE" w:rsidRPr="001C21AE">
        <w:rPr>
          <w:shd w:val="clear" w:color="auto" w:fill="FFFFFF"/>
        </w:rPr>
        <w:t> </w:t>
      </w:r>
      <w:r w:rsidR="001C21AE" w:rsidRPr="001C21AE">
        <w:rPr>
          <w:color w:val="000000"/>
          <w:shd w:val="clear" w:color="auto" w:fill="FFFFFF"/>
        </w:rPr>
        <w:t>TODAY Parents. NBCNews.com, 3 Jan. 2011. Web. 23 Oct. 2014. &lt;http://www.today.com/parents/mom-princess-boy-speaks-out-1C7399112&gt;.</w:t>
      </w:r>
    </w:p>
    <w:p w14:paraId="4EEC398E"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lastRenderedPageBreak/>
        <w:t>Fausto-Sterling, Anne. "Pink and Blue Forever." </w:t>
      </w:r>
      <w:r w:rsidRPr="00D41655">
        <w:rPr>
          <w:rFonts w:eastAsia="Times New Roman"/>
          <w:i/>
          <w:iCs/>
          <w:color w:val="000000"/>
        </w:rPr>
        <w:t>Sex/Gender: Biology in a Social World</w:t>
      </w:r>
      <w:r w:rsidRPr="00D41655">
        <w:rPr>
          <w:rFonts w:eastAsia="Times New Roman"/>
          <w:color w:val="000000"/>
        </w:rPr>
        <w:t>. New York: Routledge, 2012. 109-11. Print.</w:t>
      </w:r>
    </w:p>
    <w:p w14:paraId="5768D4DA"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Fine, Cordelia. "Why Are Toys So Gendered?" </w:t>
      </w:r>
      <w:r w:rsidRPr="00D41655">
        <w:rPr>
          <w:rFonts w:eastAsia="Times New Roman"/>
          <w:i/>
          <w:iCs/>
          <w:color w:val="000000"/>
        </w:rPr>
        <w:t>Slate Magazine</w:t>
      </w:r>
      <w:r w:rsidRPr="00D41655">
        <w:rPr>
          <w:rFonts w:eastAsia="Times New Roman"/>
          <w:color w:val="000000"/>
        </w:rPr>
        <w:t>. The Slate Group, n.d. Web. 21 Oct. 2014. &lt;http://www.slate.com/articles/health_and_science/new_scientist/2014/04/girl_and_boy_toys_childhood_preferences_for_gendered_toys_are_not_innate.html&gt;.</w:t>
      </w:r>
    </w:p>
    <w:p w14:paraId="6BBA87FC" w14:textId="77777777" w:rsidR="00CC1674"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Fitzgibbons, Richard, and Joseph Nicolosi. "When Boys Won't Be Boys: Childhood Gender Indentity Disorder." </w:t>
      </w:r>
      <w:r w:rsidRPr="00D41655">
        <w:rPr>
          <w:rFonts w:eastAsia="Times New Roman"/>
          <w:i/>
          <w:iCs/>
          <w:color w:val="000000"/>
        </w:rPr>
        <w:t>CERC</w:t>
      </w:r>
      <w:r w:rsidRPr="00D41655">
        <w:rPr>
          <w:rFonts w:eastAsia="Times New Roman"/>
          <w:color w:val="000000"/>
        </w:rPr>
        <w:t>. Catholic Education Resource Center, 2001. Web. 21 Oct. 2014. &lt;http://www.catholiceducation.org/articles/homosexuality/ho0045.html&gt;.</w:t>
      </w:r>
    </w:p>
    <w:p w14:paraId="5C99BBE0" w14:textId="2DA5A398" w:rsidR="004E02CF" w:rsidRPr="00D41655" w:rsidRDefault="004E02CF" w:rsidP="00015456">
      <w:pPr>
        <w:shd w:val="clear" w:color="auto" w:fill="FFFFFF"/>
        <w:spacing w:after="0" w:line="480" w:lineRule="auto"/>
        <w:ind w:left="456" w:hanging="600"/>
        <w:rPr>
          <w:rFonts w:eastAsia="Times New Roman"/>
          <w:color w:val="000000"/>
        </w:rPr>
      </w:pPr>
      <w:r w:rsidRPr="004E02CF">
        <w:rPr>
          <w:rFonts w:eastAsia="Times New Roman"/>
          <w:color w:val="000000"/>
        </w:rPr>
        <w:t>Ford, Milt. "A Brief History of Homosexuality in America."</w:t>
      </w:r>
      <w:r w:rsidRPr="004E02CF">
        <w:rPr>
          <w:rFonts w:eastAsia="Times New Roman"/>
        </w:rPr>
        <w:t> </w:t>
      </w:r>
      <w:r w:rsidRPr="004E02CF">
        <w:rPr>
          <w:rFonts w:eastAsia="Times New Roman"/>
          <w:color w:val="000000"/>
        </w:rPr>
        <w:t>Allies and Advocates. Grand Valley State University, 14 May 2013. Web. 30 Oct. 2014. &lt;http://www.gvsu.edu/allies/a-brief-history-of-homosexuality-in-america-30.htm&gt;.</w:t>
      </w:r>
    </w:p>
    <w:p w14:paraId="6DFFB1C0"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Iggulden, Conn, and Hal Iggulden. </w:t>
      </w:r>
      <w:r w:rsidRPr="00D41655">
        <w:rPr>
          <w:rFonts w:eastAsia="Times New Roman"/>
          <w:i/>
          <w:iCs/>
          <w:color w:val="000000"/>
        </w:rPr>
        <w:t>The Dangerous Book for Boys</w:t>
      </w:r>
      <w:r w:rsidRPr="00D41655">
        <w:rPr>
          <w:rFonts w:eastAsia="Times New Roman"/>
          <w:color w:val="000000"/>
        </w:rPr>
        <w:t>. New York: Collins, 2007. Print.</w:t>
      </w:r>
    </w:p>
    <w:p w14:paraId="0552FF7A"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Koehn, Nancy F. "Consumerism and Consumption." </w:t>
      </w:r>
      <w:r w:rsidRPr="00D41655">
        <w:rPr>
          <w:rFonts w:eastAsia="Times New Roman"/>
          <w:i/>
          <w:iCs/>
          <w:color w:val="000000"/>
        </w:rPr>
        <w:t>Gale Digital Collections</w:t>
      </w:r>
      <w:r w:rsidRPr="00D41655">
        <w:rPr>
          <w:rFonts w:eastAsia="Times New Roman"/>
          <w:color w:val="000000"/>
        </w:rPr>
        <w:t>. Gale Cengage Learning, n.d. Web. 21 Oct. 2014. &lt;http://www.gale.cengage.com/pdf/whitepapers/gdc/Consumerism_whtppr.pdf&gt;.</w:t>
      </w:r>
    </w:p>
    <w:p w14:paraId="5C1F8E03"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Lee, Jennifer. "Feminism Has a Bra-Burning Myth Problem." </w:t>
      </w:r>
      <w:r w:rsidRPr="00D41655">
        <w:rPr>
          <w:rFonts w:eastAsia="Times New Roman"/>
          <w:i/>
          <w:iCs/>
          <w:color w:val="000000"/>
        </w:rPr>
        <w:t>Time</w:t>
      </w:r>
      <w:r w:rsidRPr="00D41655">
        <w:rPr>
          <w:rFonts w:eastAsia="Times New Roman"/>
          <w:color w:val="000000"/>
        </w:rPr>
        <w:t>. Time, 12 June 2014. Web. 21 Oct. 2014. &lt;http://time.com/2853184/feminism-has-a-bra-burning-myth-problem/&gt;.</w:t>
      </w:r>
    </w:p>
    <w:p w14:paraId="4197E6C0"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Maglaty, Jeanne. "When Did Girls Start Wearing Pink?" </w:t>
      </w:r>
      <w:r w:rsidRPr="00D41655">
        <w:rPr>
          <w:rFonts w:eastAsia="Times New Roman"/>
          <w:i/>
          <w:iCs/>
          <w:color w:val="000000"/>
        </w:rPr>
        <w:t>Smithsonian.com</w:t>
      </w:r>
      <w:r w:rsidRPr="00D41655">
        <w:rPr>
          <w:rFonts w:eastAsia="Times New Roman"/>
          <w:color w:val="000000"/>
        </w:rPr>
        <w:t>. Smithsonian Institution, 7 Apr. 2011. Web. 21 Oct. 2014. &lt;http://www.smithsonianmag.com/arts-culture/when-did-girls-start-wearing-pink-1370097/?no-ist=&amp;page=2&gt;.</w:t>
      </w:r>
    </w:p>
    <w:p w14:paraId="7B7C2F89" w14:textId="77777777" w:rsidR="00CC1674" w:rsidRPr="00D41655"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lastRenderedPageBreak/>
        <w:t>McCann, John M. "The Changing Nature of Consumer Goods Marketing &amp; Sales." </w:t>
      </w:r>
      <w:r w:rsidRPr="00D41655">
        <w:rPr>
          <w:rFonts w:eastAsia="Times New Roman"/>
          <w:i/>
          <w:iCs/>
          <w:color w:val="000000"/>
        </w:rPr>
        <w:t>Changing Marketing</w:t>
      </w:r>
      <w:r w:rsidRPr="00D41655">
        <w:rPr>
          <w:rFonts w:eastAsia="Times New Roman"/>
          <w:color w:val="000000"/>
        </w:rPr>
        <w:t>. Duke University, 10 Mar. 1995. Web. 21 Oct. 2014. &lt;http://people.duke.edu/~mccann/cpg/cg-chg.htm&gt;.</w:t>
      </w:r>
    </w:p>
    <w:p w14:paraId="6638882A" w14:textId="77777777" w:rsidR="00CC1674"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Miller, Chris. "From Powdered Wigs to Camouflage: The Ever-Changing Style of the U.S. Army." </w:t>
      </w:r>
      <w:r w:rsidRPr="00D41655">
        <w:rPr>
          <w:rFonts w:eastAsia="Times New Roman"/>
          <w:i/>
          <w:iCs/>
          <w:color w:val="000000"/>
        </w:rPr>
        <w:t>The Atlantic</w:t>
      </w:r>
      <w:r w:rsidRPr="00D41655">
        <w:rPr>
          <w:rFonts w:eastAsia="Times New Roman"/>
          <w:color w:val="000000"/>
        </w:rPr>
        <w:t>. Atlantic Media Company, 06 Sept. 2012. Web. 21 Oct. 2014. &lt;http://www.theatlantic.com/national/archive/2012/09/from-powdered-wigs-to-camouflage-the-ever-changing-style-of-the-us-army/262024/2/&gt;.</w:t>
      </w:r>
    </w:p>
    <w:p w14:paraId="406D3CD2" w14:textId="77777777" w:rsidR="00CC1674"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Paoletti, Jo. "Did The Nazi Triangle Inspire Pink Symbolism?" Web log post. </w:t>
      </w:r>
      <w:r w:rsidRPr="00D41655">
        <w:rPr>
          <w:rFonts w:eastAsia="Times New Roman"/>
          <w:i/>
          <w:iCs/>
          <w:color w:val="000000"/>
        </w:rPr>
        <w:t>Gender Mystique</w:t>
      </w:r>
      <w:r w:rsidRPr="00D41655">
        <w:rPr>
          <w:rFonts w:eastAsia="Times New Roman"/>
          <w:color w:val="000000"/>
        </w:rPr>
        <w:t>. Weebly, 17 Jan. 2012. Web. 21 Oct. 2014. &lt;http://www.pinkisforboys.org/blog/category/color%20symbolism&gt;.</w:t>
      </w:r>
    </w:p>
    <w:p w14:paraId="0A82F2B8" w14:textId="7056B00C" w:rsidR="003E52B5" w:rsidRDefault="003E52B5" w:rsidP="00015456">
      <w:pPr>
        <w:shd w:val="clear" w:color="auto" w:fill="FFFFFF"/>
        <w:spacing w:after="0" w:line="480" w:lineRule="auto"/>
        <w:ind w:left="456" w:hanging="600"/>
        <w:rPr>
          <w:rFonts w:eastAsia="Times New Roman"/>
          <w:color w:val="000000"/>
        </w:rPr>
      </w:pPr>
      <w:r w:rsidRPr="003E52B5">
        <w:rPr>
          <w:rFonts w:eastAsia="Times New Roman"/>
          <w:color w:val="000000"/>
        </w:rPr>
        <w:t>Samakow, Jessica. "It Might Be The End Of Gendered Toys At McDonald's, And You Have A Teen To Thank For It."</w:t>
      </w:r>
      <w:r w:rsidRPr="003E52B5">
        <w:rPr>
          <w:rFonts w:eastAsia="Times New Roman"/>
        </w:rPr>
        <w:t> </w:t>
      </w:r>
      <w:r w:rsidRPr="003E52B5">
        <w:rPr>
          <w:rFonts w:eastAsia="Times New Roman"/>
          <w:color w:val="000000"/>
        </w:rPr>
        <w:t>The Huffington Post. TheHuffingtonPost.com, 21 Apr. 2014. Web. 30 Oct. 2014. &lt;http://www.huffingtonpost.com/2014/04/21/mcdonalds-boys-and-girls-toys-_n_5186803.html&gt;.</w:t>
      </w:r>
    </w:p>
    <w:p w14:paraId="65DF2506" w14:textId="39B7C0C6" w:rsidR="00F34F2C" w:rsidRPr="00D41655" w:rsidRDefault="00F34F2C" w:rsidP="00015456">
      <w:pPr>
        <w:shd w:val="clear" w:color="auto" w:fill="FFFFFF"/>
        <w:spacing w:after="0" w:line="480" w:lineRule="auto"/>
        <w:ind w:left="456" w:hanging="600"/>
        <w:rPr>
          <w:rFonts w:eastAsia="Times New Roman"/>
          <w:color w:val="000000"/>
        </w:rPr>
      </w:pPr>
      <w:r w:rsidRPr="00F34F2C">
        <w:rPr>
          <w:rFonts w:eastAsia="Times New Roman"/>
          <w:color w:val="000000"/>
        </w:rPr>
        <w:t>Shapiro, Joseph. "Study: Tolerance Can Lower Gay Kids' Suicide Risk."</w:t>
      </w:r>
      <w:r w:rsidRPr="00F34F2C">
        <w:rPr>
          <w:rFonts w:eastAsia="Times New Roman"/>
        </w:rPr>
        <w:t> </w:t>
      </w:r>
      <w:r w:rsidRPr="00F34F2C">
        <w:rPr>
          <w:rFonts w:eastAsia="Times New Roman"/>
          <w:color w:val="000000"/>
        </w:rPr>
        <w:t>NPR. NPR, 29 Dec. 2008. Web. 23 Oct. 2014. &lt;http://www.npr.org/templates/story/story.php?storyId=98782569&gt;</w:t>
      </w:r>
      <w:r>
        <w:rPr>
          <w:rFonts w:eastAsia="Times New Roman"/>
          <w:color w:val="000000"/>
        </w:rPr>
        <w:t>.</w:t>
      </w:r>
    </w:p>
    <w:p w14:paraId="39C32792" w14:textId="77777777" w:rsidR="00CC1674"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t>Stamberg, Susan. "Girls Are Taught To 'Think Pink,' But That Wasn't Always So." </w:t>
      </w:r>
      <w:r w:rsidRPr="00D41655">
        <w:rPr>
          <w:rFonts w:eastAsia="Times New Roman"/>
          <w:i/>
          <w:iCs/>
          <w:color w:val="000000"/>
        </w:rPr>
        <w:t>NPR</w:t>
      </w:r>
      <w:r w:rsidRPr="00D41655">
        <w:rPr>
          <w:rFonts w:eastAsia="Times New Roman"/>
          <w:color w:val="000000"/>
        </w:rPr>
        <w:t>. NPR, 1 Apr. 2014. Web. 21 Oct. 2014. &lt;http://www.npr.org/2014/04/01/297159948/girls-are-taught-to-think-pink-but-that-wasnt-always-so&gt;.</w:t>
      </w:r>
    </w:p>
    <w:p w14:paraId="0ED1D95E" w14:textId="77777777" w:rsidR="00F2494D" w:rsidRPr="00D41655" w:rsidRDefault="00F2494D" w:rsidP="00015456">
      <w:pPr>
        <w:shd w:val="clear" w:color="auto" w:fill="FFFFFF"/>
        <w:spacing w:after="0" w:line="480" w:lineRule="auto"/>
        <w:ind w:left="456" w:hanging="600"/>
        <w:rPr>
          <w:rFonts w:eastAsia="Times New Roman"/>
          <w:color w:val="000000"/>
        </w:rPr>
      </w:pPr>
      <w:r w:rsidRPr="00F2494D">
        <w:rPr>
          <w:rFonts w:eastAsia="Times New Roman"/>
          <w:color w:val="000000"/>
        </w:rPr>
        <w:t>Time Magazine 1927 Baby Color Survey. Digital image.</w:t>
      </w:r>
      <w:r w:rsidRPr="00F2494D">
        <w:rPr>
          <w:rFonts w:eastAsia="Times New Roman"/>
        </w:rPr>
        <w:t> </w:t>
      </w:r>
      <w:r w:rsidRPr="00F2494D">
        <w:rPr>
          <w:rFonts w:eastAsia="Times New Roman"/>
          <w:color w:val="000000"/>
        </w:rPr>
        <w:t>Gender Mystique. Weebly, n.d. Web. 23 Oct. 2014. &lt;http://www.pinkisforboys.org/gallery.html&gt;.</w:t>
      </w:r>
    </w:p>
    <w:p w14:paraId="238CB002" w14:textId="77777777" w:rsidR="00CC1674" w:rsidRDefault="00CC1674" w:rsidP="00015456">
      <w:pPr>
        <w:shd w:val="clear" w:color="auto" w:fill="FFFFFF"/>
        <w:spacing w:after="0" w:line="480" w:lineRule="auto"/>
        <w:ind w:left="456" w:hanging="600"/>
        <w:rPr>
          <w:rFonts w:eastAsia="Times New Roman"/>
          <w:color w:val="000000"/>
        </w:rPr>
      </w:pPr>
      <w:r w:rsidRPr="00D41655">
        <w:rPr>
          <w:rFonts w:eastAsia="Times New Roman"/>
          <w:color w:val="000000"/>
        </w:rPr>
        <w:lastRenderedPageBreak/>
        <w:t>Wolchover, Natalie. "Why Is Pink for Girls and Blue for Boys?" </w:t>
      </w:r>
      <w:r w:rsidRPr="00D41655">
        <w:rPr>
          <w:rFonts w:eastAsia="Times New Roman"/>
          <w:i/>
          <w:iCs/>
          <w:color w:val="000000"/>
        </w:rPr>
        <w:t>LiveScience</w:t>
      </w:r>
      <w:r w:rsidRPr="00D41655">
        <w:rPr>
          <w:rFonts w:eastAsia="Times New Roman"/>
          <w:color w:val="000000"/>
        </w:rPr>
        <w:t>. TechMedia Network, 01 Aug. 2012. Web. 21 Oct. 2014. &lt;http://www.livescience.com/22037-pink-girls-blue-boys.html&gt;.</w:t>
      </w:r>
    </w:p>
    <w:p w14:paraId="2BC79423" w14:textId="59D3707B" w:rsidR="00C415E3" w:rsidRDefault="00C415E3" w:rsidP="00015456">
      <w:pPr>
        <w:shd w:val="clear" w:color="auto" w:fill="FFFFFF"/>
        <w:spacing w:after="0" w:line="480" w:lineRule="auto"/>
        <w:ind w:left="456" w:hanging="600"/>
        <w:rPr>
          <w:rFonts w:eastAsia="Times New Roman"/>
          <w:color w:val="000000"/>
        </w:rPr>
      </w:pPr>
      <w:r w:rsidRPr="00C415E3">
        <w:rPr>
          <w:rFonts w:eastAsia="Times New Roman"/>
          <w:color w:val="000000"/>
        </w:rPr>
        <w:t>Yoon, JeongMee.</w:t>
      </w:r>
      <w:r w:rsidRPr="00C415E3">
        <w:rPr>
          <w:rFonts w:eastAsia="Times New Roman"/>
        </w:rPr>
        <w:t> </w:t>
      </w:r>
      <w:r w:rsidRPr="00C415E3">
        <w:rPr>
          <w:rFonts w:eastAsia="Times New Roman"/>
          <w:color w:val="000000"/>
        </w:rPr>
        <w:t>Dayeun and Her Pink Things. 2007.</w:t>
      </w:r>
      <w:r w:rsidRPr="00C415E3">
        <w:rPr>
          <w:rFonts w:eastAsia="Times New Roman"/>
        </w:rPr>
        <w:t> </w:t>
      </w:r>
      <w:r w:rsidRPr="00C415E3">
        <w:rPr>
          <w:rFonts w:eastAsia="Times New Roman"/>
          <w:color w:val="000000"/>
        </w:rPr>
        <w:t>JeongMee Yoon's Official Website. Web. 21 Oct. 2014. &lt;http://www.jeongmeeyoon.com/aw_pinkblue.htm&gt;.</w:t>
      </w:r>
    </w:p>
    <w:p w14:paraId="7EF10EE9" w14:textId="0996C85E" w:rsidR="0014200B" w:rsidRPr="00D41655" w:rsidRDefault="0014200B" w:rsidP="00015456">
      <w:pPr>
        <w:shd w:val="clear" w:color="auto" w:fill="FFFFFF"/>
        <w:spacing w:after="0" w:line="480" w:lineRule="auto"/>
        <w:ind w:left="456" w:hanging="600"/>
        <w:rPr>
          <w:rFonts w:eastAsia="Times New Roman"/>
          <w:color w:val="000000"/>
        </w:rPr>
      </w:pPr>
      <w:r w:rsidRPr="0014200B">
        <w:rPr>
          <w:rFonts w:eastAsia="Times New Roman"/>
          <w:color w:val="000000"/>
        </w:rPr>
        <w:t>Yoon, JeongMee.</w:t>
      </w:r>
      <w:r w:rsidRPr="0014200B">
        <w:rPr>
          <w:rFonts w:eastAsia="Times New Roman"/>
        </w:rPr>
        <w:t> </w:t>
      </w:r>
      <w:r w:rsidRPr="0014200B">
        <w:rPr>
          <w:rFonts w:eastAsia="Times New Roman"/>
          <w:color w:val="000000"/>
        </w:rPr>
        <w:t>Jake and His Blue Things. 2006.</w:t>
      </w:r>
      <w:r w:rsidRPr="0014200B">
        <w:rPr>
          <w:rFonts w:eastAsia="Times New Roman"/>
        </w:rPr>
        <w:t> </w:t>
      </w:r>
      <w:r w:rsidRPr="0014200B">
        <w:rPr>
          <w:rFonts w:eastAsia="Times New Roman"/>
          <w:color w:val="000000"/>
        </w:rPr>
        <w:t>JeongMee Yoon's Official Website. Web. 21 Oct. 2014. &lt;Yoon, JeongMee. Dayeun and Her Pink Things. 2007. JeongMee Yoon's Official Website. Web. 21 Oct. 2014. .&gt;.</w:t>
      </w:r>
    </w:p>
    <w:p w14:paraId="6AD9F8C3" w14:textId="62AF6CE2" w:rsidR="008441C4" w:rsidRPr="0014200B" w:rsidRDefault="00CC1674" w:rsidP="0014200B">
      <w:pPr>
        <w:shd w:val="clear" w:color="auto" w:fill="FFFFFF"/>
        <w:spacing w:after="0" w:line="480" w:lineRule="auto"/>
        <w:ind w:left="456" w:hanging="600"/>
        <w:rPr>
          <w:rFonts w:eastAsia="Times New Roman"/>
          <w:color w:val="000000"/>
        </w:rPr>
      </w:pPr>
      <w:r w:rsidRPr="00D41655">
        <w:rPr>
          <w:rFonts w:eastAsia="Times New Roman"/>
          <w:color w:val="000000"/>
        </w:rPr>
        <w:t>Yoon, JeongMee. "The Pink and Blue Project." </w:t>
      </w:r>
      <w:r w:rsidRPr="00D41655">
        <w:rPr>
          <w:rFonts w:eastAsia="Times New Roman"/>
          <w:i/>
          <w:iCs/>
          <w:color w:val="000000"/>
        </w:rPr>
        <w:t>JeongMee Yoon's Official Website</w:t>
      </w:r>
      <w:r w:rsidRPr="00D41655">
        <w:rPr>
          <w:rFonts w:eastAsia="Times New Roman"/>
          <w:color w:val="000000"/>
        </w:rPr>
        <w:t>. JeongMee Yoon, n.d. Web. 21 Oct. 2014. &lt;http://www.jeongmeeyoon.com/aw_pinkblue.htm&gt;.</w:t>
      </w:r>
    </w:p>
    <w:sectPr w:rsidR="008441C4" w:rsidRPr="0014200B">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0ED4C0" w14:textId="77777777" w:rsidR="00ED205B" w:rsidRDefault="00ED205B" w:rsidP="00546C0B">
      <w:pPr>
        <w:spacing w:after="0" w:line="240" w:lineRule="auto"/>
      </w:pPr>
      <w:r>
        <w:separator/>
      </w:r>
    </w:p>
  </w:endnote>
  <w:endnote w:type="continuationSeparator" w:id="0">
    <w:p w14:paraId="7BD72E20" w14:textId="77777777" w:rsidR="00ED205B" w:rsidRDefault="00ED205B" w:rsidP="00546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90A46" w14:textId="77777777" w:rsidR="00ED205B" w:rsidRDefault="00ED205B" w:rsidP="00546C0B">
      <w:pPr>
        <w:spacing w:after="0" w:line="240" w:lineRule="auto"/>
      </w:pPr>
      <w:r>
        <w:separator/>
      </w:r>
    </w:p>
  </w:footnote>
  <w:footnote w:type="continuationSeparator" w:id="0">
    <w:p w14:paraId="38C7BDC2" w14:textId="77777777" w:rsidR="00ED205B" w:rsidRDefault="00ED205B" w:rsidP="00546C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7B5F" w14:textId="77777777" w:rsidR="00546C0B" w:rsidRDefault="00546C0B">
    <w:pPr>
      <w:pStyle w:val="Header"/>
      <w:jc w:val="right"/>
    </w:pPr>
    <w:r>
      <w:t xml:space="preserve">Conte </w:t>
    </w:r>
    <w:sdt>
      <w:sdtPr>
        <w:id w:val="183741202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441D6">
          <w:rPr>
            <w:noProof/>
          </w:rPr>
          <w:t>1</w:t>
        </w:r>
        <w:r>
          <w:rPr>
            <w:noProof/>
          </w:rPr>
          <w:fldChar w:fldCharType="end"/>
        </w:r>
      </w:sdtContent>
    </w:sdt>
  </w:p>
  <w:p w14:paraId="73B7C533" w14:textId="77777777" w:rsidR="00546C0B" w:rsidRDefault="00546C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378"/>
    <w:rsid w:val="000025F4"/>
    <w:rsid w:val="0000582C"/>
    <w:rsid w:val="00007EDC"/>
    <w:rsid w:val="00015456"/>
    <w:rsid w:val="00017BA4"/>
    <w:rsid w:val="00021837"/>
    <w:rsid w:val="00022B78"/>
    <w:rsid w:val="0002434C"/>
    <w:rsid w:val="000301EE"/>
    <w:rsid w:val="0003187C"/>
    <w:rsid w:val="00036BF9"/>
    <w:rsid w:val="0004161B"/>
    <w:rsid w:val="000536B6"/>
    <w:rsid w:val="00066875"/>
    <w:rsid w:val="000744F9"/>
    <w:rsid w:val="00091174"/>
    <w:rsid w:val="000B1176"/>
    <w:rsid w:val="000C3EEF"/>
    <w:rsid w:val="000C7E9C"/>
    <w:rsid w:val="000D4059"/>
    <w:rsid w:val="000D5829"/>
    <w:rsid w:val="0012228A"/>
    <w:rsid w:val="00130682"/>
    <w:rsid w:val="0013140A"/>
    <w:rsid w:val="0014200B"/>
    <w:rsid w:val="00142950"/>
    <w:rsid w:val="00142A67"/>
    <w:rsid w:val="0014502F"/>
    <w:rsid w:val="00154C66"/>
    <w:rsid w:val="00197DEF"/>
    <w:rsid w:val="001B0ED0"/>
    <w:rsid w:val="001B498C"/>
    <w:rsid w:val="001C21AE"/>
    <w:rsid w:val="001D2310"/>
    <w:rsid w:val="001F6D11"/>
    <w:rsid w:val="001F7C05"/>
    <w:rsid w:val="0020002B"/>
    <w:rsid w:val="0021183A"/>
    <w:rsid w:val="00212AEB"/>
    <w:rsid w:val="00213BE1"/>
    <w:rsid w:val="00215231"/>
    <w:rsid w:val="00222D7F"/>
    <w:rsid w:val="00233171"/>
    <w:rsid w:val="00241C63"/>
    <w:rsid w:val="00271883"/>
    <w:rsid w:val="00273C09"/>
    <w:rsid w:val="002847B3"/>
    <w:rsid w:val="002848AD"/>
    <w:rsid w:val="002A173F"/>
    <w:rsid w:val="002A42EA"/>
    <w:rsid w:val="002A447A"/>
    <w:rsid w:val="002B577A"/>
    <w:rsid w:val="002C1983"/>
    <w:rsid w:val="002D7C68"/>
    <w:rsid w:val="00307F35"/>
    <w:rsid w:val="00325FC6"/>
    <w:rsid w:val="00330075"/>
    <w:rsid w:val="00335A2F"/>
    <w:rsid w:val="003534D1"/>
    <w:rsid w:val="003550E5"/>
    <w:rsid w:val="00384F2D"/>
    <w:rsid w:val="00384F74"/>
    <w:rsid w:val="003A1E17"/>
    <w:rsid w:val="003A4B49"/>
    <w:rsid w:val="003B17F1"/>
    <w:rsid w:val="003E14D2"/>
    <w:rsid w:val="003E3100"/>
    <w:rsid w:val="003E3180"/>
    <w:rsid w:val="003E52B5"/>
    <w:rsid w:val="00414177"/>
    <w:rsid w:val="00420123"/>
    <w:rsid w:val="00434F07"/>
    <w:rsid w:val="00443437"/>
    <w:rsid w:val="004617BC"/>
    <w:rsid w:val="00473EF0"/>
    <w:rsid w:val="00482DFB"/>
    <w:rsid w:val="004A1C8A"/>
    <w:rsid w:val="004A2B44"/>
    <w:rsid w:val="004C1E9C"/>
    <w:rsid w:val="004D77A6"/>
    <w:rsid w:val="004E02CF"/>
    <w:rsid w:val="004E06ED"/>
    <w:rsid w:val="004E2805"/>
    <w:rsid w:val="004E6A13"/>
    <w:rsid w:val="004F474C"/>
    <w:rsid w:val="004F5E71"/>
    <w:rsid w:val="00500E91"/>
    <w:rsid w:val="00510780"/>
    <w:rsid w:val="00510901"/>
    <w:rsid w:val="0053759C"/>
    <w:rsid w:val="00544B44"/>
    <w:rsid w:val="00546C0B"/>
    <w:rsid w:val="0057251F"/>
    <w:rsid w:val="00573A8B"/>
    <w:rsid w:val="00580378"/>
    <w:rsid w:val="005B0225"/>
    <w:rsid w:val="005C7005"/>
    <w:rsid w:val="005D6410"/>
    <w:rsid w:val="005E182B"/>
    <w:rsid w:val="00620DD5"/>
    <w:rsid w:val="00627212"/>
    <w:rsid w:val="006312B9"/>
    <w:rsid w:val="00634F4E"/>
    <w:rsid w:val="006363F8"/>
    <w:rsid w:val="00655C6A"/>
    <w:rsid w:val="00661DA6"/>
    <w:rsid w:val="00695BC2"/>
    <w:rsid w:val="00697865"/>
    <w:rsid w:val="006B1FB2"/>
    <w:rsid w:val="006C0E97"/>
    <w:rsid w:val="006C125D"/>
    <w:rsid w:val="006C19F1"/>
    <w:rsid w:val="006D1C8B"/>
    <w:rsid w:val="006D736F"/>
    <w:rsid w:val="006E7C2F"/>
    <w:rsid w:val="007049D4"/>
    <w:rsid w:val="00712C76"/>
    <w:rsid w:val="00713FD7"/>
    <w:rsid w:val="00714D8F"/>
    <w:rsid w:val="0071596B"/>
    <w:rsid w:val="0074229F"/>
    <w:rsid w:val="007425E8"/>
    <w:rsid w:val="0074313F"/>
    <w:rsid w:val="007457D3"/>
    <w:rsid w:val="00757F18"/>
    <w:rsid w:val="00763238"/>
    <w:rsid w:val="00767D9A"/>
    <w:rsid w:val="00791AA6"/>
    <w:rsid w:val="00791F85"/>
    <w:rsid w:val="007A1F81"/>
    <w:rsid w:val="007A473F"/>
    <w:rsid w:val="007A4DDF"/>
    <w:rsid w:val="007A7F07"/>
    <w:rsid w:val="007B391C"/>
    <w:rsid w:val="007D3723"/>
    <w:rsid w:val="007D5F6A"/>
    <w:rsid w:val="007E181B"/>
    <w:rsid w:val="007E247D"/>
    <w:rsid w:val="007F2080"/>
    <w:rsid w:val="0080061C"/>
    <w:rsid w:val="0081524C"/>
    <w:rsid w:val="00816708"/>
    <w:rsid w:val="00842B6A"/>
    <w:rsid w:val="008441C4"/>
    <w:rsid w:val="00850E47"/>
    <w:rsid w:val="00867E4B"/>
    <w:rsid w:val="00876B86"/>
    <w:rsid w:val="00885177"/>
    <w:rsid w:val="0089478D"/>
    <w:rsid w:val="008A4FF5"/>
    <w:rsid w:val="008B2C6C"/>
    <w:rsid w:val="00916A8F"/>
    <w:rsid w:val="00923855"/>
    <w:rsid w:val="0093534A"/>
    <w:rsid w:val="009358D0"/>
    <w:rsid w:val="00942FF6"/>
    <w:rsid w:val="00943406"/>
    <w:rsid w:val="0094430C"/>
    <w:rsid w:val="009B1008"/>
    <w:rsid w:val="009E5ACD"/>
    <w:rsid w:val="009F7BDD"/>
    <w:rsid w:val="00A11060"/>
    <w:rsid w:val="00A31576"/>
    <w:rsid w:val="00A318BD"/>
    <w:rsid w:val="00A626A8"/>
    <w:rsid w:val="00A67EDE"/>
    <w:rsid w:val="00A83B3E"/>
    <w:rsid w:val="00A85CAD"/>
    <w:rsid w:val="00A8641E"/>
    <w:rsid w:val="00A97540"/>
    <w:rsid w:val="00AA38B6"/>
    <w:rsid w:val="00AA3B68"/>
    <w:rsid w:val="00AC02C1"/>
    <w:rsid w:val="00AD50BB"/>
    <w:rsid w:val="00AE24EC"/>
    <w:rsid w:val="00AF1F48"/>
    <w:rsid w:val="00AF54E4"/>
    <w:rsid w:val="00B03F58"/>
    <w:rsid w:val="00B12EA6"/>
    <w:rsid w:val="00B33B53"/>
    <w:rsid w:val="00B342E4"/>
    <w:rsid w:val="00B40B61"/>
    <w:rsid w:val="00B430FE"/>
    <w:rsid w:val="00B61AB7"/>
    <w:rsid w:val="00B65603"/>
    <w:rsid w:val="00BA30BE"/>
    <w:rsid w:val="00BB46ED"/>
    <w:rsid w:val="00BD5782"/>
    <w:rsid w:val="00BF7DB9"/>
    <w:rsid w:val="00C029F6"/>
    <w:rsid w:val="00C07BFE"/>
    <w:rsid w:val="00C15EA3"/>
    <w:rsid w:val="00C33ACF"/>
    <w:rsid w:val="00C34275"/>
    <w:rsid w:val="00C415E3"/>
    <w:rsid w:val="00C46197"/>
    <w:rsid w:val="00C51A45"/>
    <w:rsid w:val="00C53C1D"/>
    <w:rsid w:val="00C600F9"/>
    <w:rsid w:val="00C66756"/>
    <w:rsid w:val="00C84F46"/>
    <w:rsid w:val="00CB0E41"/>
    <w:rsid w:val="00CC1674"/>
    <w:rsid w:val="00CC53B1"/>
    <w:rsid w:val="00CC7B66"/>
    <w:rsid w:val="00CD1439"/>
    <w:rsid w:val="00CD60D2"/>
    <w:rsid w:val="00CE0823"/>
    <w:rsid w:val="00CE0C57"/>
    <w:rsid w:val="00CE46B3"/>
    <w:rsid w:val="00D22D20"/>
    <w:rsid w:val="00D31B3A"/>
    <w:rsid w:val="00D336E5"/>
    <w:rsid w:val="00D36AA8"/>
    <w:rsid w:val="00D404E4"/>
    <w:rsid w:val="00D51B00"/>
    <w:rsid w:val="00D54B9A"/>
    <w:rsid w:val="00D6339E"/>
    <w:rsid w:val="00D63812"/>
    <w:rsid w:val="00D72E6A"/>
    <w:rsid w:val="00D76169"/>
    <w:rsid w:val="00D93759"/>
    <w:rsid w:val="00D9521C"/>
    <w:rsid w:val="00DB1C3B"/>
    <w:rsid w:val="00DB335B"/>
    <w:rsid w:val="00DC1436"/>
    <w:rsid w:val="00DC3FFA"/>
    <w:rsid w:val="00DD2E64"/>
    <w:rsid w:val="00E05CB2"/>
    <w:rsid w:val="00E2104C"/>
    <w:rsid w:val="00E441D6"/>
    <w:rsid w:val="00E46125"/>
    <w:rsid w:val="00E47239"/>
    <w:rsid w:val="00E54BD8"/>
    <w:rsid w:val="00E65675"/>
    <w:rsid w:val="00E65861"/>
    <w:rsid w:val="00E67EA2"/>
    <w:rsid w:val="00E85291"/>
    <w:rsid w:val="00E9092F"/>
    <w:rsid w:val="00EB575B"/>
    <w:rsid w:val="00EB682C"/>
    <w:rsid w:val="00ED205B"/>
    <w:rsid w:val="00EF4DED"/>
    <w:rsid w:val="00F14FA3"/>
    <w:rsid w:val="00F151EC"/>
    <w:rsid w:val="00F17CE5"/>
    <w:rsid w:val="00F2494D"/>
    <w:rsid w:val="00F26ABC"/>
    <w:rsid w:val="00F34F2C"/>
    <w:rsid w:val="00F46DAB"/>
    <w:rsid w:val="00F54D83"/>
    <w:rsid w:val="00F63171"/>
    <w:rsid w:val="00F72E99"/>
    <w:rsid w:val="00F7443A"/>
    <w:rsid w:val="00F751E2"/>
    <w:rsid w:val="00F75EC0"/>
    <w:rsid w:val="00F80A69"/>
    <w:rsid w:val="00FA6A4F"/>
    <w:rsid w:val="00FC1677"/>
    <w:rsid w:val="00FD6507"/>
    <w:rsid w:val="00FE2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4D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6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C0B"/>
  </w:style>
  <w:style w:type="paragraph" w:styleId="Footer">
    <w:name w:val="footer"/>
    <w:basedOn w:val="Normal"/>
    <w:link w:val="FooterChar"/>
    <w:uiPriority w:val="99"/>
    <w:unhideWhenUsed/>
    <w:rsid w:val="00546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C0B"/>
  </w:style>
  <w:style w:type="character" w:customStyle="1" w:styleId="apple-converted-space">
    <w:name w:val="apple-converted-space"/>
    <w:basedOn w:val="DefaultParagraphFont"/>
    <w:rsid w:val="00CC1674"/>
  </w:style>
  <w:style w:type="character" w:styleId="CommentReference">
    <w:name w:val="annotation reference"/>
    <w:basedOn w:val="DefaultParagraphFont"/>
    <w:uiPriority w:val="99"/>
    <w:semiHidden/>
    <w:unhideWhenUsed/>
    <w:rsid w:val="00B12EA6"/>
    <w:rPr>
      <w:sz w:val="16"/>
      <w:szCs w:val="16"/>
    </w:rPr>
  </w:style>
  <w:style w:type="paragraph" w:styleId="CommentText">
    <w:name w:val="annotation text"/>
    <w:basedOn w:val="Normal"/>
    <w:link w:val="CommentTextChar"/>
    <w:uiPriority w:val="99"/>
    <w:semiHidden/>
    <w:unhideWhenUsed/>
    <w:rsid w:val="00B12EA6"/>
    <w:pPr>
      <w:spacing w:line="240" w:lineRule="auto"/>
    </w:pPr>
    <w:rPr>
      <w:sz w:val="20"/>
      <w:szCs w:val="20"/>
    </w:rPr>
  </w:style>
  <w:style w:type="character" w:customStyle="1" w:styleId="CommentTextChar">
    <w:name w:val="Comment Text Char"/>
    <w:basedOn w:val="DefaultParagraphFont"/>
    <w:link w:val="CommentText"/>
    <w:uiPriority w:val="99"/>
    <w:semiHidden/>
    <w:rsid w:val="00B12EA6"/>
    <w:rPr>
      <w:sz w:val="20"/>
      <w:szCs w:val="20"/>
    </w:rPr>
  </w:style>
  <w:style w:type="paragraph" w:styleId="CommentSubject">
    <w:name w:val="annotation subject"/>
    <w:basedOn w:val="CommentText"/>
    <w:next w:val="CommentText"/>
    <w:link w:val="CommentSubjectChar"/>
    <w:uiPriority w:val="99"/>
    <w:semiHidden/>
    <w:unhideWhenUsed/>
    <w:rsid w:val="00B12EA6"/>
    <w:rPr>
      <w:b/>
      <w:bCs/>
    </w:rPr>
  </w:style>
  <w:style w:type="character" w:customStyle="1" w:styleId="CommentSubjectChar">
    <w:name w:val="Comment Subject Char"/>
    <w:basedOn w:val="CommentTextChar"/>
    <w:link w:val="CommentSubject"/>
    <w:uiPriority w:val="99"/>
    <w:semiHidden/>
    <w:rsid w:val="00B12EA6"/>
    <w:rPr>
      <w:b/>
      <w:bCs/>
      <w:sz w:val="20"/>
      <w:szCs w:val="20"/>
    </w:rPr>
  </w:style>
  <w:style w:type="paragraph" w:styleId="BalloonText">
    <w:name w:val="Balloon Text"/>
    <w:basedOn w:val="Normal"/>
    <w:link w:val="BalloonTextChar"/>
    <w:uiPriority w:val="99"/>
    <w:semiHidden/>
    <w:unhideWhenUsed/>
    <w:rsid w:val="00B12E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EA6"/>
    <w:rPr>
      <w:rFonts w:ascii="Segoe UI" w:hAnsi="Segoe UI" w:cs="Segoe UI"/>
      <w:sz w:val="18"/>
      <w:szCs w:val="18"/>
    </w:rPr>
  </w:style>
  <w:style w:type="character" w:styleId="Hyperlink">
    <w:name w:val="Hyperlink"/>
    <w:basedOn w:val="DefaultParagraphFont"/>
    <w:uiPriority w:val="99"/>
    <w:unhideWhenUsed/>
    <w:rsid w:val="00F34F2C"/>
    <w:rPr>
      <w:color w:val="0563C1" w:themeColor="hyperlink"/>
      <w:u w:val="single"/>
    </w:rPr>
  </w:style>
  <w:style w:type="paragraph" w:styleId="FootnoteText">
    <w:name w:val="footnote text"/>
    <w:basedOn w:val="Normal"/>
    <w:link w:val="FootnoteTextChar"/>
    <w:uiPriority w:val="99"/>
    <w:semiHidden/>
    <w:unhideWhenUsed/>
    <w:rsid w:val="00273C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3C09"/>
    <w:rPr>
      <w:sz w:val="20"/>
      <w:szCs w:val="20"/>
    </w:rPr>
  </w:style>
  <w:style w:type="character" w:styleId="FootnoteReference">
    <w:name w:val="footnote reference"/>
    <w:basedOn w:val="DefaultParagraphFont"/>
    <w:uiPriority w:val="99"/>
    <w:semiHidden/>
    <w:unhideWhenUsed/>
    <w:rsid w:val="00273C09"/>
    <w:rPr>
      <w:vertAlign w:val="superscript"/>
    </w:rPr>
  </w:style>
  <w:style w:type="paragraph" w:styleId="Caption">
    <w:name w:val="caption"/>
    <w:basedOn w:val="Normal"/>
    <w:next w:val="Normal"/>
    <w:uiPriority w:val="35"/>
    <w:unhideWhenUsed/>
    <w:qFormat/>
    <w:rsid w:val="006C19F1"/>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6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C0B"/>
  </w:style>
  <w:style w:type="paragraph" w:styleId="Footer">
    <w:name w:val="footer"/>
    <w:basedOn w:val="Normal"/>
    <w:link w:val="FooterChar"/>
    <w:uiPriority w:val="99"/>
    <w:unhideWhenUsed/>
    <w:rsid w:val="00546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C0B"/>
  </w:style>
  <w:style w:type="character" w:customStyle="1" w:styleId="apple-converted-space">
    <w:name w:val="apple-converted-space"/>
    <w:basedOn w:val="DefaultParagraphFont"/>
    <w:rsid w:val="00CC1674"/>
  </w:style>
  <w:style w:type="character" w:styleId="CommentReference">
    <w:name w:val="annotation reference"/>
    <w:basedOn w:val="DefaultParagraphFont"/>
    <w:uiPriority w:val="99"/>
    <w:semiHidden/>
    <w:unhideWhenUsed/>
    <w:rsid w:val="00B12EA6"/>
    <w:rPr>
      <w:sz w:val="16"/>
      <w:szCs w:val="16"/>
    </w:rPr>
  </w:style>
  <w:style w:type="paragraph" w:styleId="CommentText">
    <w:name w:val="annotation text"/>
    <w:basedOn w:val="Normal"/>
    <w:link w:val="CommentTextChar"/>
    <w:uiPriority w:val="99"/>
    <w:semiHidden/>
    <w:unhideWhenUsed/>
    <w:rsid w:val="00B12EA6"/>
    <w:pPr>
      <w:spacing w:line="240" w:lineRule="auto"/>
    </w:pPr>
    <w:rPr>
      <w:sz w:val="20"/>
      <w:szCs w:val="20"/>
    </w:rPr>
  </w:style>
  <w:style w:type="character" w:customStyle="1" w:styleId="CommentTextChar">
    <w:name w:val="Comment Text Char"/>
    <w:basedOn w:val="DefaultParagraphFont"/>
    <w:link w:val="CommentText"/>
    <w:uiPriority w:val="99"/>
    <w:semiHidden/>
    <w:rsid w:val="00B12EA6"/>
    <w:rPr>
      <w:sz w:val="20"/>
      <w:szCs w:val="20"/>
    </w:rPr>
  </w:style>
  <w:style w:type="paragraph" w:styleId="CommentSubject">
    <w:name w:val="annotation subject"/>
    <w:basedOn w:val="CommentText"/>
    <w:next w:val="CommentText"/>
    <w:link w:val="CommentSubjectChar"/>
    <w:uiPriority w:val="99"/>
    <w:semiHidden/>
    <w:unhideWhenUsed/>
    <w:rsid w:val="00B12EA6"/>
    <w:rPr>
      <w:b/>
      <w:bCs/>
    </w:rPr>
  </w:style>
  <w:style w:type="character" w:customStyle="1" w:styleId="CommentSubjectChar">
    <w:name w:val="Comment Subject Char"/>
    <w:basedOn w:val="CommentTextChar"/>
    <w:link w:val="CommentSubject"/>
    <w:uiPriority w:val="99"/>
    <w:semiHidden/>
    <w:rsid w:val="00B12EA6"/>
    <w:rPr>
      <w:b/>
      <w:bCs/>
      <w:sz w:val="20"/>
      <w:szCs w:val="20"/>
    </w:rPr>
  </w:style>
  <w:style w:type="paragraph" w:styleId="BalloonText">
    <w:name w:val="Balloon Text"/>
    <w:basedOn w:val="Normal"/>
    <w:link w:val="BalloonTextChar"/>
    <w:uiPriority w:val="99"/>
    <w:semiHidden/>
    <w:unhideWhenUsed/>
    <w:rsid w:val="00B12E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EA6"/>
    <w:rPr>
      <w:rFonts w:ascii="Segoe UI" w:hAnsi="Segoe UI" w:cs="Segoe UI"/>
      <w:sz w:val="18"/>
      <w:szCs w:val="18"/>
    </w:rPr>
  </w:style>
  <w:style w:type="character" w:styleId="Hyperlink">
    <w:name w:val="Hyperlink"/>
    <w:basedOn w:val="DefaultParagraphFont"/>
    <w:uiPriority w:val="99"/>
    <w:unhideWhenUsed/>
    <w:rsid w:val="00F34F2C"/>
    <w:rPr>
      <w:color w:val="0563C1" w:themeColor="hyperlink"/>
      <w:u w:val="single"/>
    </w:rPr>
  </w:style>
  <w:style w:type="paragraph" w:styleId="FootnoteText">
    <w:name w:val="footnote text"/>
    <w:basedOn w:val="Normal"/>
    <w:link w:val="FootnoteTextChar"/>
    <w:uiPriority w:val="99"/>
    <w:semiHidden/>
    <w:unhideWhenUsed/>
    <w:rsid w:val="00273C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3C09"/>
    <w:rPr>
      <w:sz w:val="20"/>
      <w:szCs w:val="20"/>
    </w:rPr>
  </w:style>
  <w:style w:type="character" w:styleId="FootnoteReference">
    <w:name w:val="footnote reference"/>
    <w:basedOn w:val="DefaultParagraphFont"/>
    <w:uiPriority w:val="99"/>
    <w:semiHidden/>
    <w:unhideWhenUsed/>
    <w:rsid w:val="00273C09"/>
    <w:rPr>
      <w:vertAlign w:val="superscript"/>
    </w:rPr>
  </w:style>
  <w:style w:type="paragraph" w:styleId="Caption">
    <w:name w:val="caption"/>
    <w:basedOn w:val="Normal"/>
    <w:next w:val="Normal"/>
    <w:uiPriority w:val="35"/>
    <w:unhideWhenUsed/>
    <w:qFormat/>
    <w:rsid w:val="006C19F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1093-BED4-42E5-9FD6-B68D7740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3975</Words>
  <Characters>22661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Emelia</dc:creator>
  <cp:lastModifiedBy>lab</cp:lastModifiedBy>
  <cp:revision>2</cp:revision>
  <dcterms:created xsi:type="dcterms:W3CDTF">2015-10-19T12:22:00Z</dcterms:created>
  <dcterms:modified xsi:type="dcterms:W3CDTF">2015-10-19T12:22:00Z</dcterms:modified>
</cp:coreProperties>
</file>