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0AFFE" w14:textId="77777777" w:rsidR="00620D83" w:rsidRPr="00620D83" w:rsidRDefault="00A51230" w:rsidP="00620D83">
      <w:pPr>
        <w:spacing w:after="0"/>
        <w:jc w:val="center"/>
        <w:rPr>
          <w:b/>
        </w:rPr>
      </w:pPr>
      <w:bookmarkStart w:id="0" w:name="_GoBack"/>
      <w:bookmarkEnd w:id="0"/>
      <w:r>
        <w:rPr>
          <w:b/>
        </w:rPr>
        <w:t>Fact Sheet</w:t>
      </w:r>
      <w:r w:rsidR="00620D83" w:rsidRPr="00620D83">
        <w:rPr>
          <w:b/>
        </w:rPr>
        <w:t xml:space="preserve"> on Use of Antipsychotics, Gradual Dose Reduction, and </w:t>
      </w:r>
    </w:p>
    <w:p w14:paraId="032C6298" w14:textId="77777777" w:rsidR="00CD2401" w:rsidRDefault="00620D83" w:rsidP="00620D83">
      <w:pPr>
        <w:spacing w:after="0"/>
        <w:jc w:val="center"/>
        <w:rPr>
          <w:b/>
        </w:rPr>
      </w:pPr>
      <w:r w:rsidRPr="00620D83">
        <w:rPr>
          <w:b/>
        </w:rPr>
        <w:t>Non-Pharmacological Approaches for BPSD in Long Term Care</w:t>
      </w:r>
    </w:p>
    <w:p w14:paraId="58CF00FD" w14:textId="77777777" w:rsidR="00673825" w:rsidRDefault="00673825" w:rsidP="00620D83">
      <w:pPr>
        <w:spacing w:after="0"/>
        <w:jc w:val="center"/>
        <w:rPr>
          <w:b/>
        </w:rPr>
      </w:pPr>
    </w:p>
    <w:p w14:paraId="1865C45B" w14:textId="77777777" w:rsidR="007F2667" w:rsidRDefault="007F2667" w:rsidP="007F2667">
      <w:pPr>
        <w:spacing w:after="0"/>
      </w:pPr>
      <w:r w:rsidRPr="007F2667">
        <w:rPr>
          <w:b/>
          <w:i/>
        </w:rPr>
        <w:t xml:space="preserve">Who is more likely to be prescribed an antipsychotic medication </w:t>
      </w:r>
      <w:r w:rsidR="00F36DFC" w:rsidRPr="007F2667">
        <w:rPr>
          <w:b/>
          <w:i/>
        </w:rPr>
        <w:t>in post-</w:t>
      </w:r>
      <w:r w:rsidRPr="007F2667">
        <w:rPr>
          <w:b/>
          <w:i/>
        </w:rPr>
        <w:t>acute and long-</w:t>
      </w:r>
      <w:r w:rsidR="00F36DFC" w:rsidRPr="007F2667">
        <w:rPr>
          <w:b/>
          <w:i/>
        </w:rPr>
        <w:t>term care</w:t>
      </w:r>
      <w:r w:rsidRPr="007F2667">
        <w:rPr>
          <w:b/>
          <w:i/>
        </w:rPr>
        <w:t>?</w:t>
      </w:r>
      <w:r>
        <w:t xml:space="preserve"> </w:t>
      </w:r>
    </w:p>
    <w:p w14:paraId="132A8465" w14:textId="77777777" w:rsidR="00673825" w:rsidRDefault="007F2667" w:rsidP="007F2667">
      <w:pPr>
        <w:spacing w:after="0"/>
      </w:pPr>
      <w:r>
        <w:t xml:space="preserve"> People who are </w:t>
      </w:r>
      <w:r w:rsidR="00F36DFC" w:rsidRPr="007F2667">
        <w:rPr>
          <w:i/>
        </w:rPr>
        <w:t xml:space="preserve">younger age, male </w:t>
      </w:r>
      <w:r w:rsidRPr="007F2667">
        <w:rPr>
          <w:i/>
        </w:rPr>
        <w:t xml:space="preserve">or have </w:t>
      </w:r>
      <w:r w:rsidR="00F36DFC" w:rsidRPr="007F2667">
        <w:rPr>
          <w:i/>
        </w:rPr>
        <w:t>moderate to severe dementia</w:t>
      </w:r>
      <w:r w:rsidR="00F36DFC">
        <w:t>.</w:t>
      </w:r>
    </w:p>
    <w:p w14:paraId="6125C60B" w14:textId="77777777" w:rsidR="00592BA2" w:rsidRDefault="00592BA2" w:rsidP="007F2667">
      <w:pPr>
        <w:spacing w:after="0"/>
        <w:rPr>
          <w:b/>
          <w:i/>
        </w:rPr>
      </w:pPr>
    </w:p>
    <w:p w14:paraId="012B8C69" w14:textId="77777777" w:rsidR="007F2667" w:rsidRPr="007F2667" w:rsidRDefault="007F2667" w:rsidP="007F2667">
      <w:pPr>
        <w:spacing w:after="0"/>
        <w:rPr>
          <w:b/>
          <w:i/>
        </w:rPr>
      </w:pPr>
      <w:r w:rsidRPr="007F2667">
        <w:rPr>
          <w:b/>
          <w:i/>
        </w:rPr>
        <w:t>What facility characteristics predict rate of antipsychotic use?</w:t>
      </w:r>
    </w:p>
    <w:p w14:paraId="7EB647A5" w14:textId="77777777" w:rsidR="007F2667" w:rsidRDefault="00F36DFC" w:rsidP="007F2667">
      <w:pPr>
        <w:spacing w:after="0"/>
      </w:pPr>
      <w:r>
        <w:t xml:space="preserve">Larger facilities, non-profit status and high RN staffing ratios are all associated with </w:t>
      </w:r>
      <w:r w:rsidRPr="007F2667">
        <w:rPr>
          <w:u w:val="single"/>
        </w:rPr>
        <w:t>lower</w:t>
      </w:r>
      <w:r>
        <w:t xml:space="preserve"> rates</w:t>
      </w:r>
      <w:r w:rsidR="007F2667">
        <w:t>.</w:t>
      </w:r>
    </w:p>
    <w:p w14:paraId="31E78B4A" w14:textId="77777777" w:rsidR="00F36DFC" w:rsidRDefault="00F36DFC" w:rsidP="007F2667">
      <w:pPr>
        <w:spacing w:after="0"/>
      </w:pPr>
      <w:r>
        <w:t xml:space="preserve">Facility characteristics associated with </w:t>
      </w:r>
      <w:r w:rsidRPr="007F2667">
        <w:rPr>
          <w:u w:val="single"/>
        </w:rPr>
        <w:t>higher</w:t>
      </w:r>
      <w:r>
        <w:t xml:space="preserve"> antipsychotic use in long term care include: central south, northeast, metropolitan location; smaller facilities; for-profit status; dementia special care units; low occupancy; low RN staffing; presence of mental health professionals; independent ownership; and minimal competition.</w:t>
      </w:r>
    </w:p>
    <w:p w14:paraId="1AD76F20" w14:textId="77777777" w:rsidR="00592BA2" w:rsidRDefault="00592BA2" w:rsidP="007F2667">
      <w:pPr>
        <w:spacing w:after="0"/>
        <w:rPr>
          <w:b/>
          <w:i/>
        </w:rPr>
      </w:pPr>
    </w:p>
    <w:p w14:paraId="55CEDEEA" w14:textId="77777777" w:rsidR="007F2667" w:rsidRPr="007F2667" w:rsidRDefault="007F2667" w:rsidP="007F2667">
      <w:pPr>
        <w:spacing w:after="0"/>
        <w:rPr>
          <w:b/>
          <w:i/>
        </w:rPr>
      </w:pPr>
      <w:r w:rsidRPr="007F2667">
        <w:rPr>
          <w:b/>
          <w:i/>
        </w:rPr>
        <w:t>For what conditions are antipsychotic</w:t>
      </w:r>
      <w:r>
        <w:rPr>
          <w:b/>
          <w:i/>
        </w:rPr>
        <w:t>s</w:t>
      </w:r>
      <w:r w:rsidRPr="007F2667">
        <w:rPr>
          <w:b/>
          <w:i/>
        </w:rPr>
        <w:t xml:space="preserve"> approved </w:t>
      </w:r>
      <w:r>
        <w:rPr>
          <w:b/>
          <w:i/>
        </w:rPr>
        <w:t xml:space="preserve">for use </w:t>
      </w:r>
      <w:r w:rsidRPr="007F2667">
        <w:rPr>
          <w:b/>
          <w:i/>
        </w:rPr>
        <w:t xml:space="preserve">by the </w:t>
      </w:r>
      <w:r w:rsidR="00F36DFC" w:rsidRPr="007F2667">
        <w:rPr>
          <w:b/>
          <w:i/>
        </w:rPr>
        <w:t>Food and Drug Administration</w:t>
      </w:r>
      <w:r w:rsidRPr="007F2667">
        <w:rPr>
          <w:b/>
          <w:i/>
        </w:rPr>
        <w:t>?</w:t>
      </w:r>
    </w:p>
    <w:p w14:paraId="7C4A8B00" w14:textId="77777777" w:rsidR="00F36DFC" w:rsidRPr="00592BA2" w:rsidRDefault="007F2667" w:rsidP="007F2667">
      <w:pPr>
        <w:spacing w:after="0"/>
      </w:pPr>
      <w:r w:rsidRPr="00592BA2">
        <w:t>B</w:t>
      </w:r>
      <w:r w:rsidR="00F36DFC" w:rsidRPr="00592BA2">
        <w:t>ipolar disorder</w:t>
      </w:r>
      <w:r w:rsidR="00F63EEF" w:rsidRPr="00592BA2">
        <w:t xml:space="preserve"> (not an exclusion from denominator)</w:t>
      </w:r>
      <w:r w:rsidR="00F36DFC" w:rsidRPr="00592BA2">
        <w:t>, schizophrenia, adjunct to antidepressants for major depressive disorder (aripiprazole), Tourette’s syndrome (conventional antipsychotics only), and Huntington’s disease.</w:t>
      </w:r>
    </w:p>
    <w:p w14:paraId="52C37097" w14:textId="77777777" w:rsidR="00592BA2" w:rsidRDefault="00592BA2" w:rsidP="00065D77">
      <w:pPr>
        <w:spacing w:after="0"/>
        <w:rPr>
          <w:b/>
          <w:i/>
        </w:rPr>
      </w:pPr>
    </w:p>
    <w:p w14:paraId="2EC338C8" w14:textId="77777777" w:rsidR="00065D77" w:rsidRPr="00065D77" w:rsidRDefault="00065D77" w:rsidP="00065D77">
      <w:pPr>
        <w:spacing w:after="0"/>
        <w:rPr>
          <w:b/>
          <w:i/>
        </w:rPr>
      </w:pPr>
      <w:r w:rsidRPr="00065D77">
        <w:rPr>
          <w:b/>
          <w:i/>
        </w:rPr>
        <w:t>What risks are associated with taking an antips</w:t>
      </w:r>
      <w:r w:rsidR="001C54D4" w:rsidRPr="00065D77">
        <w:rPr>
          <w:b/>
          <w:i/>
        </w:rPr>
        <w:t>ychotic</w:t>
      </w:r>
      <w:r w:rsidRPr="00065D77">
        <w:rPr>
          <w:b/>
          <w:i/>
        </w:rPr>
        <w:t>?</w:t>
      </w:r>
    </w:p>
    <w:p w14:paraId="12662807" w14:textId="77777777" w:rsidR="001C54D4" w:rsidRDefault="00065D77" w:rsidP="00065D77">
      <w:pPr>
        <w:spacing w:after="0"/>
      </w:pPr>
      <w:r>
        <w:t>F</w:t>
      </w:r>
      <w:r w:rsidR="001C54D4">
        <w:t>alls and fracture; sedation; delirium; functional decline; extrapyramidal symptoms (Parkinsonism, dyskinesias); anticholinergic side effects (</w:t>
      </w:r>
      <w:proofErr w:type="spellStart"/>
      <w:r w:rsidR="001C54D4">
        <w:t>orthostatis</w:t>
      </w:r>
      <w:proofErr w:type="spellEnd"/>
      <w:r w:rsidR="001C54D4">
        <w:t xml:space="preserve">, constipation, blurry vision, etc.); hyperglycemia; hyperlipidemia; </w:t>
      </w:r>
      <w:r w:rsidR="00EA4C98">
        <w:t xml:space="preserve">drug interaction (40% chance); </w:t>
      </w:r>
      <w:r w:rsidR="001C54D4">
        <w:t>pneumonia; cardiovascular risks; and death (mortality is highest in first 30-40 days).</w:t>
      </w:r>
    </w:p>
    <w:p w14:paraId="741A4013" w14:textId="77777777" w:rsidR="00592BA2" w:rsidRDefault="00592BA2" w:rsidP="00065D77">
      <w:pPr>
        <w:spacing w:after="0"/>
        <w:rPr>
          <w:b/>
          <w:i/>
        </w:rPr>
      </w:pPr>
    </w:p>
    <w:p w14:paraId="2E190733" w14:textId="77777777" w:rsidR="00065D77" w:rsidRPr="00065D77" w:rsidRDefault="00065D77" w:rsidP="00065D77">
      <w:pPr>
        <w:spacing w:after="0"/>
        <w:rPr>
          <w:b/>
          <w:i/>
        </w:rPr>
      </w:pPr>
      <w:r w:rsidRPr="00065D77">
        <w:rPr>
          <w:b/>
          <w:i/>
        </w:rPr>
        <w:t>If an antipsychotic is prescribed, what documentation is required?</w:t>
      </w:r>
    </w:p>
    <w:p w14:paraId="1135F164" w14:textId="77777777" w:rsidR="002736DE" w:rsidRPr="00065D77" w:rsidRDefault="004A39C0" w:rsidP="00065D77">
      <w:pPr>
        <w:spacing w:after="0"/>
        <w:rPr>
          <w:i/>
        </w:rPr>
      </w:pPr>
      <w:r>
        <w:t xml:space="preserve">F-tag 329 provides the definition of an unnecessary </w:t>
      </w:r>
      <w:r w:rsidR="00A04C7F">
        <w:t>drug. According to Centers for Medicare and Medicaid guidelines, in order to remain in compliance with F-tag 329</w:t>
      </w:r>
      <w:r w:rsidR="001F3613">
        <w:t xml:space="preserve"> </w:t>
      </w:r>
      <w:r w:rsidR="00C82C7C">
        <w:t>specific to</w:t>
      </w:r>
      <w:r w:rsidR="001F3613">
        <w:t xml:space="preserve"> antipsychotic use</w:t>
      </w:r>
      <w:r w:rsidR="00A04C7F">
        <w:t>, documentation must include</w:t>
      </w:r>
      <w:r w:rsidR="00B9046F">
        <w:t>:</w:t>
      </w:r>
      <w:r w:rsidR="00A04C7F">
        <w:t xml:space="preserve"> </w:t>
      </w:r>
      <w:r w:rsidR="00A04C7F" w:rsidRPr="00065D77">
        <w:rPr>
          <w:i/>
        </w:rPr>
        <w:t>indication for use, effectiveness of non-pharmacologic interventions, risk benefit discussion, side effect monitoring and gradual dose reduction.</w:t>
      </w:r>
    </w:p>
    <w:p w14:paraId="5D7A5634" w14:textId="77777777" w:rsidR="00592BA2" w:rsidRDefault="00592BA2" w:rsidP="00065D77">
      <w:pPr>
        <w:spacing w:after="0"/>
        <w:rPr>
          <w:b/>
          <w:i/>
        </w:rPr>
      </w:pPr>
    </w:p>
    <w:p w14:paraId="3949F0AB" w14:textId="77777777" w:rsidR="001F3613" w:rsidRPr="00065D77" w:rsidRDefault="00065D77" w:rsidP="00065D77">
      <w:pPr>
        <w:spacing w:after="0"/>
        <w:rPr>
          <w:b/>
          <w:i/>
        </w:rPr>
      </w:pPr>
      <w:r w:rsidRPr="00065D77">
        <w:rPr>
          <w:b/>
          <w:i/>
        </w:rPr>
        <w:t>What are the recommended m</w:t>
      </w:r>
      <w:r w:rsidR="001C03F8" w:rsidRPr="00065D77">
        <w:rPr>
          <w:b/>
          <w:i/>
        </w:rPr>
        <w:t xml:space="preserve">aximum daily doses for antipsychotics </w:t>
      </w:r>
      <w:r w:rsidRPr="00065D77">
        <w:rPr>
          <w:b/>
          <w:i/>
        </w:rPr>
        <w:t>when used for BPSD?</w:t>
      </w:r>
    </w:p>
    <w:tbl>
      <w:tblPr>
        <w:tblStyle w:val="TableGrid"/>
        <w:tblW w:w="0" w:type="auto"/>
        <w:tblInd w:w="-5" w:type="dxa"/>
        <w:tblLook w:val="04A0" w:firstRow="1" w:lastRow="0" w:firstColumn="1" w:lastColumn="0" w:noHBand="0" w:noVBand="1"/>
      </w:tblPr>
      <w:tblGrid>
        <w:gridCol w:w="4230"/>
        <w:gridCol w:w="5989"/>
      </w:tblGrid>
      <w:tr w:rsidR="0083634B" w14:paraId="375406F8" w14:textId="77777777" w:rsidTr="00592BA2">
        <w:tc>
          <w:tcPr>
            <w:tcW w:w="4230" w:type="dxa"/>
          </w:tcPr>
          <w:p w14:paraId="64A2998D" w14:textId="77777777" w:rsidR="001C03F8" w:rsidRPr="001C03F8" w:rsidRDefault="001C03F8" w:rsidP="001C03F8">
            <w:pPr>
              <w:rPr>
                <w:b/>
              </w:rPr>
            </w:pPr>
            <w:r w:rsidRPr="001C03F8">
              <w:rPr>
                <w:b/>
              </w:rPr>
              <w:t>Antipsychotic</w:t>
            </w:r>
          </w:p>
        </w:tc>
        <w:tc>
          <w:tcPr>
            <w:tcW w:w="5989" w:type="dxa"/>
          </w:tcPr>
          <w:p w14:paraId="4CE9905C" w14:textId="77777777" w:rsidR="001C03F8" w:rsidRPr="001C03F8" w:rsidRDefault="001C03F8" w:rsidP="001C03F8">
            <w:pPr>
              <w:rPr>
                <w:b/>
              </w:rPr>
            </w:pPr>
            <w:r w:rsidRPr="001C03F8">
              <w:rPr>
                <w:b/>
              </w:rPr>
              <w:t>Maximum Recommended Total Dose (mg) per Day for BPSD</w:t>
            </w:r>
          </w:p>
        </w:tc>
      </w:tr>
      <w:tr w:rsidR="001C03F8" w14:paraId="087CB93D" w14:textId="77777777" w:rsidTr="00592BA2">
        <w:tc>
          <w:tcPr>
            <w:tcW w:w="4230" w:type="dxa"/>
          </w:tcPr>
          <w:p w14:paraId="2D9C2100" w14:textId="77777777" w:rsidR="001C03F8" w:rsidRDefault="001C03F8" w:rsidP="001C03F8">
            <w:r>
              <w:t>Haloperidol</w:t>
            </w:r>
          </w:p>
        </w:tc>
        <w:tc>
          <w:tcPr>
            <w:tcW w:w="5989" w:type="dxa"/>
          </w:tcPr>
          <w:p w14:paraId="59AACCB9" w14:textId="77777777" w:rsidR="001C03F8" w:rsidRDefault="001C03F8" w:rsidP="001C03F8">
            <w:r>
              <w:t>2mg</w:t>
            </w:r>
          </w:p>
        </w:tc>
      </w:tr>
      <w:tr w:rsidR="001C03F8" w14:paraId="00CCA26A" w14:textId="77777777" w:rsidTr="00592BA2">
        <w:tc>
          <w:tcPr>
            <w:tcW w:w="4230" w:type="dxa"/>
          </w:tcPr>
          <w:p w14:paraId="33DB1F72" w14:textId="77777777" w:rsidR="001C03F8" w:rsidRDefault="00685247" w:rsidP="001C03F8">
            <w:r>
              <w:t>Aripiprazole</w:t>
            </w:r>
          </w:p>
        </w:tc>
        <w:tc>
          <w:tcPr>
            <w:tcW w:w="5989" w:type="dxa"/>
          </w:tcPr>
          <w:p w14:paraId="78521A6C" w14:textId="77777777" w:rsidR="001C03F8" w:rsidRDefault="001C03F8" w:rsidP="001C03F8">
            <w:r>
              <w:t>10mg</w:t>
            </w:r>
          </w:p>
        </w:tc>
      </w:tr>
      <w:tr w:rsidR="001C03F8" w14:paraId="327C00E4" w14:textId="77777777" w:rsidTr="00592BA2">
        <w:tc>
          <w:tcPr>
            <w:tcW w:w="4230" w:type="dxa"/>
          </w:tcPr>
          <w:p w14:paraId="457F75AE" w14:textId="77777777" w:rsidR="001C03F8" w:rsidRDefault="00685247" w:rsidP="001C03F8">
            <w:r>
              <w:t>Clozapine</w:t>
            </w:r>
          </w:p>
        </w:tc>
        <w:tc>
          <w:tcPr>
            <w:tcW w:w="5989" w:type="dxa"/>
          </w:tcPr>
          <w:p w14:paraId="45D25E64" w14:textId="77777777" w:rsidR="001C03F8" w:rsidRDefault="001C03F8" w:rsidP="001C03F8">
            <w:r>
              <w:t>50mg</w:t>
            </w:r>
          </w:p>
        </w:tc>
      </w:tr>
      <w:tr w:rsidR="001C03F8" w14:paraId="5AD37D37" w14:textId="77777777" w:rsidTr="00592BA2">
        <w:tc>
          <w:tcPr>
            <w:tcW w:w="4230" w:type="dxa"/>
          </w:tcPr>
          <w:p w14:paraId="5A3AE725" w14:textId="77777777" w:rsidR="001C03F8" w:rsidRDefault="00685247" w:rsidP="001C03F8">
            <w:r>
              <w:t>Olanzapine</w:t>
            </w:r>
          </w:p>
        </w:tc>
        <w:tc>
          <w:tcPr>
            <w:tcW w:w="5989" w:type="dxa"/>
          </w:tcPr>
          <w:p w14:paraId="20C258C0" w14:textId="77777777" w:rsidR="001C03F8" w:rsidRDefault="001C03F8" w:rsidP="001C03F8">
            <w:r>
              <w:t>5mg</w:t>
            </w:r>
          </w:p>
        </w:tc>
      </w:tr>
      <w:tr w:rsidR="001C03F8" w14:paraId="6743E240" w14:textId="77777777" w:rsidTr="00592BA2">
        <w:tc>
          <w:tcPr>
            <w:tcW w:w="4230" w:type="dxa"/>
          </w:tcPr>
          <w:p w14:paraId="7E777B0C" w14:textId="77777777" w:rsidR="001C03F8" w:rsidRDefault="00685247" w:rsidP="001C03F8">
            <w:r>
              <w:t>Quetiapine</w:t>
            </w:r>
          </w:p>
        </w:tc>
        <w:tc>
          <w:tcPr>
            <w:tcW w:w="5989" w:type="dxa"/>
          </w:tcPr>
          <w:p w14:paraId="48B873EB" w14:textId="77777777" w:rsidR="001C03F8" w:rsidRDefault="00685247" w:rsidP="001C03F8">
            <w:r>
              <w:t>150mg</w:t>
            </w:r>
          </w:p>
        </w:tc>
      </w:tr>
      <w:tr w:rsidR="001C03F8" w14:paraId="51DE9FD3" w14:textId="77777777" w:rsidTr="00592BA2">
        <w:tc>
          <w:tcPr>
            <w:tcW w:w="4230" w:type="dxa"/>
          </w:tcPr>
          <w:p w14:paraId="324B8FF6" w14:textId="77777777" w:rsidR="001C03F8" w:rsidRDefault="00685247" w:rsidP="001C03F8">
            <w:r>
              <w:t>Risperidone</w:t>
            </w:r>
          </w:p>
        </w:tc>
        <w:tc>
          <w:tcPr>
            <w:tcW w:w="5989" w:type="dxa"/>
          </w:tcPr>
          <w:p w14:paraId="17DE9AA0" w14:textId="77777777" w:rsidR="001C03F8" w:rsidRDefault="00685247" w:rsidP="001C03F8">
            <w:r>
              <w:t>2mg</w:t>
            </w:r>
          </w:p>
        </w:tc>
      </w:tr>
      <w:tr w:rsidR="001C03F8" w14:paraId="2A099A38" w14:textId="77777777" w:rsidTr="00592BA2">
        <w:tc>
          <w:tcPr>
            <w:tcW w:w="4230" w:type="dxa"/>
          </w:tcPr>
          <w:p w14:paraId="64A6483A" w14:textId="77777777" w:rsidR="001C03F8" w:rsidRDefault="00685247" w:rsidP="001C03F8">
            <w:r>
              <w:t>Ziprasidone</w:t>
            </w:r>
          </w:p>
        </w:tc>
        <w:tc>
          <w:tcPr>
            <w:tcW w:w="5989" w:type="dxa"/>
          </w:tcPr>
          <w:p w14:paraId="5A2DCC75" w14:textId="77777777" w:rsidR="001C03F8" w:rsidRDefault="00685247" w:rsidP="001C03F8">
            <w:r>
              <w:t>No data available in older adults with dementia</w:t>
            </w:r>
          </w:p>
        </w:tc>
      </w:tr>
      <w:tr w:rsidR="0083634B" w14:paraId="1389974C" w14:textId="77777777" w:rsidTr="00592BA2">
        <w:tc>
          <w:tcPr>
            <w:tcW w:w="10219" w:type="dxa"/>
            <w:gridSpan w:val="2"/>
          </w:tcPr>
          <w:p w14:paraId="4D6E1788" w14:textId="77777777" w:rsidR="0083634B" w:rsidRDefault="0083634B" w:rsidP="001C03F8">
            <w:r>
              <w:rPr>
                <w:i/>
              </w:rPr>
              <w:t>Bach</w:t>
            </w:r>
            <w:r w:rsidRPr="00685247">
              <w:rPr>
                <w:i/>
              </w:rPr>
              <w:t xml:space="preserve">, </w:t>
            </w:r>
            <w:r w:rsidR="00375F56">
              <w:rPr>
                <w:i/>
              </w:rPr>
              <w:t xml:space="preserve">Lazzaretto, Young, </w:t>
            </w:r>
            <w:proofErr w:type="spellStart"/>
            <w:r w:rsidR="00375F56">
              <w:rPr>
                <w:i/>
              </w:rPr>
              <w:t>Lofholm</w:t>
            </w:r>
            <w:proofErr w:type="spellEnd"/>
            <w:r w:rsidR="00375F56">
              <w:rPr>
                <w:i/>
              </w:rPr>
              <w:t>, 2017</w:t>
            </w:r>
          </w:p>
        </w:tc>
      </w:tr>
    </w:tbl>
    <w:p w14:paraId="207DFEC0" w14:textId="77777777" w:rsidR="00592BA2" w:rsidRDefault="00592BA2" w:rsidP="001A16B1">
      <w:pPr>
        <w:spacing w:after="0"/>
        <w:rPr>
          <w:b/>
          <w:i/>
        </w:rPr>
      </w:pPr>
    </w:p>
    <w:p w14:paraId="1CA2D1CF" w14:textId="77777777" w:rsidR="001A16B1" w:rsidRPr="00065D77" w:rsidRDefault="001A16B1" w:rsidP="001A16B1">
      <w:pPr>
        <w:spacing w:after="0"/>
        <w:rPr>
          <w:b/>
          <w:i/>
        </w:rPr>
      </w:pPr>
      <w:r w:rsidRPr="00065D77">
        <w:rPr>
          <w:b/>
          <w:i/>
        </w:rPr>
        <w:t>What are some non-pharmacological alternatives to antipsychotics?</w:t>
      </w:r>
    </w:p>
    <w:p w14:paraId="2D57C5AC" w14:textId="77777777" w:rsidR="001A16B1" w:rsidRDefault="001A16B1" w:rsidP="001A16B1">
      <w:pPr>
        <w:spacing w:after="0"/>
      </w:pPr>
      <w:r>
        <w:t>Rule out medical cause (delirium screening, vigilant medical care); address unmet needs; communication strategies; routine &amp; constituency with activities and caregivers; environmental modifications; maximize sensory input (glasses, hearing aids, plenty of light); involve in functional &amp; physical activities; incorporate personal preferences; supervision &amp; safety; and specific therapies such as art, music, aromatherapy, etc.</w:t>
      </w:r>
    </w:p>
    <w:p w14:paraId="1B47184D" w14:textId="77777777" w:rsidR="00592BA2" w:rsidRDefault="00592BA2" w:rsidP="00F3204F">
      <w:pPr>
        <w:spacing w:after="0"/>
        <w:rPr>
          <w:b/>
          <w:i/>
        </w:rPr>
      </w:pPr>
    </w:p>
    <w:p w14:paraId="117BFA06" w14:textId="77777777" w:rsidR="00F3204F" w:rsidRPr="00F3204F" w:rsidRDefault="00F3204F" w:rsidP="00F3204F">
      <w:pPr>
        <w:spacing w:after="0"/>
        <w:rPr>
          <w:b/>
          <w:i/>
        </w:rPr>
      </w:pPr>
      <w:r w:rsidRPr="00F3204F">
        <w:rPr>
          <w:b/>
          <w:i/>
        </w:rPr>
        <w:t>We would like to reduce our antipsychotic use</w:t>
      </w:r>
      <w:r w:rsidR="001A16B1">
        <w:rPr>
          <w:b/>
          <w:i/>
        </w:rPr>
        <w:t xml:space="preserve"> and increase use of nonpharmacologic approaches</w:t>
      </w:r>
      <w:r w:rsidRPr="00F3204F">
        <w:rPr>
          <w:b/>
          <w:i/>
        </w:rPr>
        <w:t xml:space="preserve">.  How should we start? </w:t>
      </w:r>
    </w:p>
    <w:p w14:paraId="5C33668F" w14:textId="77777777" w:rsidR="00F3204F" w:rsidRDefault="00F3204F" w:rsidP="00F3204F">
      <w:pPr>
        <w:pStyle w:val="ListParagraph"/>
        <w:numPr>
          <w:ilvl w:val="1"/>
          <w:numId w:val="4"/>
        </w:numPr>
        <w:spacing w:after="0"/>
      </w:pPr>
      <w:r>
        <w:t>Assess facility policies, the environment and culture, and gather your baseline data</w:t>
      </w:r>
    </w:p>
    <w:p w14:paraId="3AF2667F" w14:textId="77777777" w:rsidR="00F3204F" w:rsidRDefault="00F3204F" w:rsidP="00F3204F">
      <w:pPr>
        <w:pStyle w:val="ListParagraph"/>
        <w:numPr>
          <w:ilvl w:val="1"/>
          <w:numId w:val="4"/>
        </w:numPr>
        <w:spacing w:after="0"/>
      </w:pPr>
      <w:r>
        <w:t>Educate staff and family about limits of meds, risks, and non-pharmacological interventions</w:t>
      </w:r>
    </w:p>
    <w:p w14:paraId="0052FB38" w14:textId="77777777" w:rsidR="00F3204F" w:rsidRDefault="00F3204F" w:rsidP="00F3204F">
      <w:pPr>
        <w:pStyle w:val="ListParagraph"/>
        <w:numPr>
          <w:ilvl w:val="1"/>
          <w:numId w:val="4"/>
        </w:numPr>
        <w:spacing w:after="0"/>
      </w:pPr>
      <w:r>
        <w:t>Create an interdisciplinary team of champions</w:t>
      </w:r>
    </w:p>
    <w:p w14:paraId="0A7C4819" w14:textId="77777777" w:rsidR="00F3204F" w:rsidRDefault="00F3204F" w:rsidP="00F3204F">
      <w:pPr>
        <w:pStyle w:val="ListParagraph"/>
        <w:numPr>
          <w:ilvl w:val="1"/>
          <w:numId w:val="4"/>
        </w:numPr>
        <w:spacing w:after="0"/>
      </w:pPr>
      <w:r>
        <w:lastRenderedPageBreak/>
        <w:t>Start with the low hanging fruit</w:t>
      </w:r>
    </w:p>
    <w:p w14:paraId="5CE695C3" w14:textId="77777777" w:rsidR="00F3204F" w:rsidRDefault="00F3204F" w:rsidP="00F3204F">
      <w:pPr>
        <w:pStyle w:val="ListParagraph"/>
        <w:numPr>
          <w:ilvl w:val="1"/>
          <w:numId w:val="4"/>
        </w:numPr>
        <w:spacing w:after="0"/>
      </w:pPr>
      <w:r>
        <w:t>Continue with ongoing mentoring and motivation</w:t>
      </w:r>
    </w:p>
    <w:p w14:paraId="150C4847" w14:textId="77777777" w:rsidR="00592BA2" w:rsidRDefault="00592BA2" w:rsidP="00F3204F">
      <w:pPr>
        <w:spacing w:after="0"/>
        <w:rPr>
          <w:b/>
          <w:i/>
        </w:rPr>
      </w:pPr>
    </w:p>
    <w:p w14:paraId="133D8C4F" w14:textId="77777777" w:rsidR="00F3204F" w:rsidRPr="00F3204F" w:rsidRDefault="001A16B1" w:rsidP="00F3204F">
      <w:pPr>
        <w:spacing w:after="0"/>
        <w:rPr>
          <w:b/>
          <w:i/>
        </w:rPr>
      </w:pPr>
      <w:r>
        <w:rPr>
          <w:b/>
          <w:i/>
        </w:rPr>
        <w:t xml:space="preserve">Be clear about the goal of using nonpharmacologic approaches.  </w:t>
      </w:r>
      <w:r w:rsidR="00F3204F" w:rsidRPr="00F3204F">
        <w:rPr>
          <w:b/>
          <w:i/>
        </w:rPr>
        <w:t xml:space="preserve">What behavior are you trying to address?  </w:t>
      </w:r>
    </w:p>
    <w:p w14:paraId="3B3C753C" w14:textId="77777777" w:rsidR="00F3204F" w:rsidRDefault="00F3204F" w:rsidP="00F3204F">
      <w:pPr>
        <w:spacing w:after="0"/>
      </w:pPr>
      <w:r>
        <w:t xml:space="preserve">When considering whether or not to use antipsychotics to treat behavioral and psychological symptoms of dementia, it is important to clearly identify the target symptom and be able to accurately describe the behavior to the health care provider. Include information such as </w:t>
      </w:r>
      <w:r w:rsidRPr="00F3204F">
        <w:rPr>
          <w:b/>
        </w:rPr>
        <w:t>frequency, intensity, and/or timing of the behavior</w:t>
      </w:r>
      <w:r>
        <w:t xml:space="preserve">. Avoid using non-descriptive words such as “agitated” which can mean different things to different people. Instead, </w:t>
      </w:r>
      <w:r w:rsidRPr="00F3204F">
        <w:rPr>
          <w:b/>
        </w:rPr>
        <w:t>describe the specific behavior</w:t>
      </w:r>
      <w:r>
        <w:t xml:space="preserve"> that the resident is engaging in.</w:t>
      </w:r>
    </w:p>
    <w:p w14:paraId="196A6407" w14:textId="77777777" w:rsidR="00592BA2" w:rsidRDefault="00592BA2" w:rsidP="00F3204F">
      <w:pPr>
        <w:spacing w:after="0"/>
        <w:rPr>
          <w:b/>
          <w:i/>
        </w:rPr>
      </w:pPr>
    </w:p>
    <w:p w14:paraId="218C233B" w14:textId="77777777" w:rsidR="00F3204F" w:rsidRPr="00227DD4" w:rsidRDefault="00F3204F" w:rsidP="00F3204F">
      <w:pPr>
        <w:spacing w:after="0"/>
        <w:rPr>
          <w:i/>
        </w:rPr>
      </w:pPr>
      <w:r w:rsidRPr="00227DD4">
        <w:rPr>
          <w:b/>
          <w:i/>
        </w:rPr>
        <w:t>What topics are important to include in staff education</w:t>
      </w:r>
      <w:r w:rsidR="00592BA2">
        <w:rPr>
          <w:b/>
          <w:i/>
        </w:rPr>
        <w:t xml:space="preserve"> before beginning a</w:t>
      </w:r>
      <w:r w:rsidR="00592BA2" w:rsidRPr="00592BA2">
        <w:rPr>
          <w:b/>
          <w:i/>
        </w:rPr>
        <w:t xml:space="preserve"> </w:t>
      </w:r>
      <w:r w:rsidR="00592BA2" w:rsidRPr="00F3204F">
        <w:rPr>
          <w:b/>
          <w:i/>
        </w:rPr>
        <w:t>Gradual Dose Reduction</w:t>
      </w:r>
      <w:r w:rsidR="00592BA2">
        <w:rPr>
          <w:b/>
          <w:i/>
        </w:rPr>
        <w:t>(GDR)</w:t>
      </w:r>
      <w:r w:rsidRPr="00227DD4">
        <w:rPr>
          <w:b/>
          <w:i/>
        </w:rPr>
        <w:t>?</w:t>
      </w:r>
    </w:p>
    <w:p w14:paraId="18305B3D" w14:textId="77777777" w:rsidR="00F3204F" w:rsidRDefault="00F3204F" w:rsidP="00F3204F">
      <w:pPr>
        <w:spacing w:after="0"/>
      </w:pPr>
      <w:r>
        <w:t>The inclusion of staff education, appropriate documentation, use of assessment tools, data analysis, and identification of prescribing and de-prescribing trends are all important elements for reducing inappropriate use of antipsychotics in nursing home settings.</w:t>
      </w:r>
    </w:p>
    <w:p w14:paraId="1228ED9B" w14:textId="77777777" w:rsidR="00592BA2" w:rsidRDefault="00592BA2" w:rsidP="00065D77">
      <w:pPr>
        <w:spacing w:after="0"/>
        <w:rPr>
          <w:b/>
          <w:i/>
        </w:rPr>
      </w:pPr>
    </w:p>
    <w:p w14:paraId="473020DC" w14:textId="77777777" w:rsidR="00065D77" w:rsidRPr="00F3204F" w:rsidRDefault="00065D77" w:rsidP="00065D77">
      <w:pPr>
        <w:spacing w:after="0"/>
        <w:rPr>
          <w:b/>
          <w:i/>
        </w:rPr>
      </w:pPr>
      <w:r w:rsidRPr="00F3204F">
        <w:rPr>
          <w:b/>
          <w:i/>
        </w:rPr>
        <w:t>What are some c</w:t>
      </w:r>
      <w:r w:rsidR="00C82C7C" w:rsidRPr="00F3204F">
        <w:rPr>
          <w:b/>
          <w:i/>
        </w:rPr>
        <w:t xml:space="preserve">ommon challenges associated with </w:t>
      </w:r>
      <w:r w:rsidR="00592BA2">
        <w:rPr>
          <w:b/>
          <w:i/>
        </w:rPr>
        <w:t>GDR</w:t>
      </w:r>
      <w:r w:rsidRPr="00F3204F">
        <w:rPr>
          <w:b/>
          <w:i/>
        </w:rPr>
        <w:t>?</w:t>
      </w:r>
    </w:p>
    <w:p w14:paraId="1C6971B0" w14:textId="77777777" w:rsidR="00C82C7C" w:rsidRDefault="00C82C7C" w:rsidP="0098676F">
      <w:pPr>
        <w:pStyle w:val="ListParagraph"/>
        <w:numPr>
          <w:ilvl w:val="0"/>
          <w:numId w:val="4"/>
        </w:numPr>
        <w:spacing w:after="0"/>
      </w:pPr>
      <w:r>
        <w:t>Silo approach</w:t>
      </w:r>
      <w:r w:rsidR="00F63EEF">
        <w:t xml:space="preserve">—pharmacist recommendations alone do not change prescriber behavior; need </w:t>
      </w:r>
      <w:r w:rsidR="00CE6D05">
        <w:t xml:space="preserve">open and </w:t>
      </w:r>
      <w:r w:rsidR="00CE6D05" w:rsidRPr="00B9046F">
        <w:rPr>
          <w:u w:val="single"/>
        </w:rPr>
        <w:t xml:space="preserve">ongoing </w:t>
      </w:r>
      <w:r w:rsidR="00F63EEF" w:rsidRPr="00B9046F">
        <w:rPr>
          <w:u w:val="single"/>
        </w:rPr>
        <w:t>communication across disciplines</w:t>
      </w:r>
    </w:p>
    <w:p w14:paraId="143B37A5" w14:textId="77777777" w:rsidR="00C82C7C" w:rsidRDefault="00C82C7C" w:rsidP="0098676F">
      <w:pPr>
        <w:pStyle w:val="ListParagraph"/>
        <w:numPr>
          <w:ilvl w:val="0"/>
          <w:numId w:val="4"/>
        </w:numPr>
        <w:spacing w:after="0"/>
      </w:pPr>
      <w:r>
        <w:t>Misunderstanding of CMS regulation</w:t>
      </w:r>
    </w:p>
    <w:p w14:paraId="3ED26C17" w14:textId="77777777" w:rsidR="00C82C7C" w:rsidRDefault="00C82C7C" w:rsidP="0098676F">
      <w:pPr>
        <w:pStyle w:val="ListParagraph"/>
        <w:numPr>
          <w:ilvl w:val="0"/>
          <w:numId w:val="4"/>
        </w:numPr>
        <w:spacing w:after="0"/>
      </w:pPr>
      <w:r>
        <w:t>Unfamiliar with assessment tools to monitor antipsychotic use</w:t>
      </w:r>
      <w:r w:rsidR="006F31C3">
        <w:t>—</w:t>
      </w:r>
      <w:r w:rsidR="00216FAB">
        <w:t>a</w:t>
      </w:r>
      <w:r w:rsidR="00B33599">
        <w:t xml:space="preserve"> </w:t>
      </w:r>
      <w:r w:rsidR="00216FAB">
        <w:t xml:space="preserve">good </w:t>
      </w:r>
      <w:r w:rsidR="00B33599">
        <w:t xml:space="preserve">resource: </w:t>
      </w:r>
      <w:hyperlink r:id="rId5" w:history="1">
        <w:r w:rsidR="006F31C3" w:rsidRPr="004801C8">
          <w:rPr>
            <w:rStyle w:val="Hyperlink"/>
          </w:rPr>
          <w:t>https://www.nhqualitycampaign.org/professionalDementia.aspx</w:t>
        </w:r>
      </w:hyperlink>
    </w:p>
    <w:p w14:paraId="29897C35" w14:textId="77777777" w:rsidR="00C82C7C" w:rsidRDefault="00C82C7C" w:rsidP="0098676F">
      <w:pPr>
        <w:pStyle w:val="ListParagraph"/>
        <w:numPr>
          <w:ilvl w:val="0"/>
          <w:numId w:val="4"/>
        </w:numPr>
        <w:spacing w:after="0"/>
      </w:pPr>
      <w:r>
        <w:t>GDR is done without emphasis on non-pharmacological approaches</w:t>
      </w:r>
    </w:p>
    <w:p w14:paraId="1A6ECC88" w14:textId="77777777" w:rsidR="00C82C7C" w:rsidRDefault="00C82C7C" w:rsidP="0098676F">
      <w:pPr>
        <w:pStyle w:val="ListParagraph"/>
        <w:numPr>
          <w:ilvl w:val="0"/>
          <w:numId w:val="4"/>
        </w:numPr>
        <w:spacing w:after="0"/>
      </w:pPr>
      <w:r>
        <w:t>N</w:t>
      </w:r>
      <w:r w:rsidR="00B0105E">
        <w:t xml:space="preserve">o </w:t>
      </w:r>
      <w:r>
        <w:t>consensus on GDR</w:t>
      </w:r>
    </w:p>
    <w:p w14:paraId="27A937A1" w14:textId="77777777" w:rsidR="00592BA2" w:rsidRDefault="00592BA2" w:rsidP="00F3204F">
      <w:pPr>
        <w:spacing w:after="0"/>
        <w:rPr>
          <w:b/>
          <w:i/>
        </w:rPr>
      </w:pPr>
    </w:p>
    <w:p w14:paraId="21C7D423" w14:textId="77777777" w:rsidR="00BF6A66" w:rsidRPr="00592BA2" w:rsidRDefault="00F3204F" w:rsidP="00F3204F">
      <w:pPr>
        <w:spacing w:after="0"/>
        <w:rPr>
          <w:b/>
          <w:i/>
        </w:rPr>
      </w:pPr>
      <w:r w:rsidRPr="00592BA2">
        <w:rPr>
          <w:b/>
          <w:i/>
        </w:rPr>
        <w:t>What s</w:t>
      </w:r>
      <w:r w:rsidR="00BF6A66" w:rsidRPr="00592BA2">
        <w:rPr>
          <w:b/>
          <w:i/>
        </w:rPr>
        <w:t>trategies</w:t>
      </w:r>
      <w:r w:rsidRPr="00592BA2">
        <w:rPr>
          <w:b/>
          <w:i/>
        </w:rPr>
        <w:t xml:space="preserve"> should we consider using for a GDR?</w:t>
      </w:r>
      <w:r w:rsidR="00BF6A66" w:rsidRPr="00592BA2">
        <w:rPr>
          <w:b/>
          <w:i/>
        </w:rPr>
        <w:t xml:space="preserve"> </w:t>
      </w:r>
    </w:p>
    <w:p w14:paraId="0A22027C" w14:textId="77777777" w:rsidR="00BF6A66" w:rsidRDefault="00BF6A66" w:rsidP="00BF6A66">
      <w:pPr>
        <w:pStyle w:val="ListParagraph"/>
        <w:numPr>
          <w:ilvl w:val="1"/>
          <w:numId w:val="4"/>
        </w:numPr>
        <w:spacing w:after="0"/>
      </w:pPr>
      <w:r>
        <w:t>Go slow</w:t>
      </w:r>
    </w:p>
    <w:p w14:paraId="55C5F243" w14:textId="77777777" w:rsidR="00BF6A66" w:rsidRDefault="00BF6A66" w:rsidP="00BF6A66">
      <w:pPr>
        <w:pStyle w:val="ListParagraph"/>
        <w:numPr>
          <w:ilvl w:val="1"/>
          <w:numId w:val="4"/>
        </w:numPr>
        <w:spacing w:after="0"/>
      </w:pPr>
      <w:r>
        <w:t>Strategize with your clinician prescribers</w:t>
      </w:r>
    </w:p>
    <w:p w14:paraId="25EBDC6B" w14:textId="77777777" w:rsidR="00BF6A66" w:rsidRDefault="00BF6A66" w:rsidP="00BF6A66">
      <w:pPr>
        <w:pStyle w:val="ListParagraph"/>
        <w:numPr>
          <w:ilvl w:val="1"/>
          <w:numId w:val="4"/>
        </w:numPr>
        <w:spacing w:after="0"/>
      </w:pPr>
      <w:r>
        <w:t>Reassess</w:t>
      </w:r>
    </w:p>
    <w:p w14:paraId="6473B3CF" w14:textId="77777777" w:rsidR="00BF6A66" w:rsidRDefault="00BF6A66" w:rsidP="00BF6A66">
      <w:pPr>
        <w:pStyle w:val="ListParagraph"/>
        <w:numPr>
          <w:ilvl w:val="1"/>
          <w:numId w:val="4"/>
        </w:numPr>
        <w:spacing w:after="0"/>
      </w:pPr>
      <w:r>
        <w:t>Realize it won’t always be successful</w:t>
      </w:r>
    </w:p>
    <w:p w14:paraId="45C5FC38" w14:textId="77777777" w:rsidR="00BF6A66" w:rsidRDefault="00FF6CDA" w:rsidP="00BF6A66">
      <w:pPr>
        <w:pStyle w:val="ListParagraph"/>
        <w:numPr>
          <w:ilvl w:val="1"/>
          <w:numId w:val="4"/>
        </w:numPr>
        <w:spacing w:after="0"/>
      </w:pPr>
      <w:r>
        <w:t>Put a</w:t>
      </w:r>
      <w:r w:rsidR="00BF6A66">
        <w:t xml:space="preserve"> non-pharmacologic plan in place and involve family</w:t>
      </w:r>
    </w:p>
    <w:p w14:paraId="5769B906" w14:textId="77777777" w:rsidR="006F31C3" w:rsidRDefault="006F31C3" w:rsidP="006F31C3">
      <w:pPr>
        <w:spacing w:after="0"/>
      </w:pPr>
    </w:p>
    <w:p w14:paraId="0DEBFC5D" w14:textId="77777777" w:rsidR="00375F56" w:rsidRDefault="00375F56" w:rsidP="00375F56">
      <w:pPr>
        <w:spacing w:after="0"/>
      </w:pPr>
    </w:p>
    <w:p w14:paraId="313D45D1" w14:textId="77777777" w:rsidR="00592BA2" w:rsidRDefault="00375F56" w:rsidP="00375F56">
      <w:pPr>
        <w:spacing w:after="0"/>
      </w:pPr>
      <w:r>
        <w:t xml:space="preserve">Bach, L. L., Lazzaretto, D. L., Young, C. F., &amp; </w:t>
      </w:r>
      <w:proofErr w:type="spellStart"/>
      <w:r>
        <w:t>Lofholm</w:t>
      </w:r>
      <w:proofErr w:type="spellEnd"/>
      <w:r>
        <w:t xml:space="preserve">, P. W. (2017). Improving Nursing Home Compliance via Revised Antipsychotic Use Survey Tool. The Consultant Pharmacist: The Journal of the American Society of Consultant Pharmacists, 32(4), 228–238. https://doi.org/10.4140/TCP.n.2017.228 3. </w:t>
      </w:r>
      <w:proofErr w:type="spellStart"/>
      <w:r>
        <w:t>Cioltan</w:t>
      </w:r>
      <w:proofErr w:type="spellEnd"/>
      <w:r>
        <w:t xml:space="preserve">, H., </w:t>
      </w:r>
      <w:proofErr w:type="spellStart"/>
      <w:r>
        <w:t>Alshehri</w:t>
      </w:r>
      <w:proofErr w:type="spellEnd"/>
      <w:r>
        <w:t xml:space="preserve">, S., Howe, C., Lee, J., Fain, M., </w:t>
      </w:r>
      <w:proofErr w:type="spellStart"/>
      <w:r>
        <w:t>Eng</w:t>
      </w:r>
      <w:proofErr w:type="spellEnd"/>
      <w:r>
        <w:t>, H., … Mohler, J.</w:t>
      </w:r>
    </w:p>
    <w:sectPr w:rsidR="00592BA2" w:rsidSect="00F36DF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B7FED"/>
    <w:multiLevelType w:val="multilevel"/>
    <w:tmpl w:val="F5ECE3FC"/>
    <w:numStyleLink w:val="Style1"/>
  </w:abstractNum>
  <w:abstractNum w:abstractNumId="1" w15:restartNumberingAfterBreak="0">
    <w:nsid w:val="30487F69"/>
    <w:multiLevelType w:val="hybridMultilevel"/>
    <w:tmpl w:val="57D6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F1AB6"/>
    <w:multiLevelType w:val="hybridMultilevel"/>
    <w:tmpl w:val="F5EC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9D1B87"/>
    <w:multiLevelType w:val="multilevel"/>
    <w:tmpl w:val="F5ECE3FC"/>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83"/>
    <w:rsid w:val="00065D77"/>
    <w:rsid w:val="000D1873"/>
    <w:rsid w:val="001A16B1"/>
    <w:rsid w:val="001C03F8"/>
    <w:rsid w:val="001C54D4"/>
    <w:rsid w:val="001F3613"/>
    <w:rsid w:val="00216FAB"/>
    <w:rsid w:val="00227DD4"/>
    <w:rsid w:val="0024670D"/>
    <w:rsid w:val="002736DE"/>
    <w:rsid w:val="00375F56"/>
    <w:rsid w:val="003961ED"/>
    <w:rsid w:val="004801C8"/>
    <w:rsid w:val="004A39C0"/>
    <w:rsid w:val="004C26BC"/>
    <w:rsid w:val="00592BA2"/>
    <w:rsid w:val="0059312B"/>
    <w:rsid w:val="005E7C93"/>
    <w:rsid w:val="00620D83"/>
    <w:rsid w:val="00673825"/>
    <w:rsid w:val="00685247"/>
    <w:rsid w:val="00686E81"/>
    <w:rsid w:val="006F31C3"/>
    <w:rsid w:val="007F2667"/>
    <w:rsid w:val="0083634B"/>
    <w:rsid w:val="0098676F"/>
    <w:rsid w:val="00A04C7F"/>
    <w:rsid w:val="00A4131E"/>
    <w:rsid w:val="00A51230"/>
    <w:rsid w:val="00B0105E"/>
    <w:rsid w:val="00B33599"/>
    <w:rsid w:val="00B9046F"/>
    <w:rsid w:val="00BF6A66"/>
    <w:rsid w:val="00C23B84"/>
    <w:rsid w:val="00C82C7C"/>
    <w:rsid w:val="00CD2401"/>
    <w:rsid w:val="00CE6D05"/>
    <w:rsid w:val="00CF26CE"/>
    <w:rsid w:val="00D1016E"/>
    <w:rsid w:val="00EA4C98"/>
    <w:rsid w:val="00EC488E"/>
    <w:rsid w:val="00F3204F"/>
    <w:rsid w:val="00F36DFC"/>
    <w:rsid w:val="00F614B6"/>
    <w:rsid w:val="00F63EEF"/>
    <w:rsid w:val="00FF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AA091"/>
  <w15:chartTrackingRefBased/>
  <w15:docId w15:val="{5B84102C-615C-488F-BAE3-397894F9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DFC"/>
    <w:pPr>
      <w:ind w:left="720"/>
      <w:contextualSpacing/>
    </w:pPr>
  </w:style>
  <w:style w:type="table" w:styleId="TableGrid">
    <w:name w:val="Table Grid"/>
    <w:basedOn w:val="TableNormal"/>
    <w:uiPriority w:val="39"/>
    <w:rsid w:val="001C0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82C7C"/>
    <w:pPr>
      <w:numPr>
        <w:numId w:val="3"/>
      </w:numPr>
    </w:pPr>
  </w:style>
  <w:style w:type="character" w:styleId="Hyperlink">
    <w:name w:val="Hyperlink"/>
    <w:basedOn w:val="DefaultParagraphFont"/>
    <w:uiPriority w:val="99"/>
    <w:unhideWhenUsed/>
    <w:rsid w:val="004801C8"/>
    <w:rPr>
      <w:color w:val="0563C1" w:themeColor="hyperlink"/>
      <w:u w:val="single"/>
    </w:rPr>
  </w:style>
  <w:style w:type="paragraph" w:styleId="BalloonText">
    <w:name w:val="Balloon Text"/>
    <w:basedOn w:val="Normal"/>
    <w:link w:val="BalloonTextChar"/>
    <w:uiPriority w:val="99"/>
    <w:semiHidden/>
    <w:unhideWhenUsed/>
    <w:rsid w:val="005E7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C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hqualitycampaign.org/professionalDementia.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Vigne</dc:creator>
  <cp:keywords/>
  <dc:description/>
  <cp:lastModifiedBy>Riley, Kiernan E</cp:lastModifiedBy>
  <cp:revision>2</cp:revision>
  <cp:lastPrinted>2018-09-25T00:33:00Z</cp:lastPrinted>
  <dcterms:created xsi:type="dcterms:W3CDTF">2019-09-02T18:05:00Z</dcterms:created>
  <dcterms:modified xsi:type="dcterms:W3CDTF">2019-09-02T18:05:00Z</dcterms:modified>
</cp:coreProperties>
</file>