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1DB2" w14:textId="2CC89226" w:rsidR="002D2B4E" w:rsidRPr="004532F4" w:rsidRDefault="004532F4" w:rsidP="004532F4">
      <w:pPr>
        <w:jc w:val="center"/>
        <w:rPr>
          <w:sz w:val="40"/>
          <w:szCs w:val="40"/>
        </w:rPr>
      </w:pPr>
      <w:r w:rsidRPr="004532F4">
        <w:rPr>
          <w:sz w:val="40"/>
          <w:szCs w:val="40"/>
        </w:rPr>
        <w:t>B</w:t>
      </w:r>
      <w:r w:rsidRPr="004532F4">
        <w:rPr>
          <w:sz w:val="40"/>
          <w:szCs w:val="40"/>
        </w:rPr>
        <w:t>ench</w:t>
      </w:r>
      <w:r>
        <w:rPr>
          <w:sz w:val="40"/>
          <w:szCs w:val="40"/>
        </w:rPr>
        <w:t>-</w:t>
      </w:r>
      <w:r w:rsidRPr="004532F4">
        <w:rPr>
          <w:sz w:val="40"/>
          <w:szCs w:val="40"/>
        </w:rPr>
        <w:t xml:space="preserve">top </w:t>
      </w:r>
      <w:r w:rsidRPr="004532F4">
        <w:rPr>
          <w:sz w:val="40"/>
          <w:szCs w:val="40"/>
        </w:rPr>
        <w:t xml:space="preserve">Pulsed UV </w:t>
      </w:r>
      <w:r w:rsidRPr="004532F4">
        <w:rPr>
          <w:sz w:val="40"/>
          <w:szCs w:val="40"/>
        </w:rPr>
        <w:t>system</w:t>
      </w:r>
    </w:p>
    <w:p w14:paraId="4E99F5BF" w14:textId="037579DB" w:rsidR="004532F4" w:rsidRDefault="004532F4"/>
    <w:p w14:paraId="4CD07563" w14:textId="27E2D563" w:rsidR="004532F4" w:rsidRDefault="004532F4" w:rsidP="004532F4">
      <w:pPr>
        <w:jc w:val="center"/>
      </w:pPr>
      <w:r>
        <w:rPr>
          <w:noProof/>
        </w:rPr>
        <w:drawing>
          <wp:inline distT="0" distB="0" distL="0" distR="0" wp14:anchorId="18F9F194" wp14:editId="44AE0978">
            <wp:extent cx="3733800" cy="2804160"/>
            <wp:effectExtent l="0" t="0" r="0" b="0"/>
            <wp:docPr id="1" name="Picture 1" descr="pho_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_020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080A" w14:textId="56537AB4" w:rsidR="004532F4" w:rsidRDefault="004532F4" w:rsidP="004532F4"/>
    <w:p w14:paraId="5B9737CF" w14:textId="0D6E5A49" w:rsidR="004532F4" w:rsidRPr="009F2999" w:rsidRDefault="004532F4" w:rsidP="004532F4">
      <w:pPr>
        <w:rPr>
          <w:rFonts w:ascii="Times New Roman" w:hAnsi="Times New Roman" w:cs="Times New Roman"/>
          <w:sz w:val="24"/>
          <w:szCs w:val="24"/>
        </w:rPr>
      </w:pPr>
      <w:r w:rsidRPr="009F2999">
        <w:rPr>
          <w:rFonts w:ascii="Times New Roman" w:hAnsi="Times New Roman" w:cs="Times New Roman"/>
          <w:sz w:val="24"/>
          <w:szCs w:val="24"/>
        </w:rPr>
        <w:t>The SteriPulse-XL®3000 Pulsed UV-Light System (Xenon Corporation, Wilmington, MA) includes a chamber (0.64 ×0.15×0.19 m)</w:t>
      </w:r>
      <w:r w:rsidRPr="009F2999">
        <w:rPr>
          <w:rFonts w:ascii="Times New Roman" w:hAnsi="Times New Roman" w:cs="Times New Roman"/>
          <w:sz w:val="24"/>
          <w:szCs w:val="24"/>
        </w:rPr>
        <w:t xml:space="preserve"> with </w:t>
      </w:r>
      <w:r w:rsidRPr="009F2999">
        <w:rPr>
          <w:rFonts w:ascii="Times New Roman" w:hAnsi="Times New Roman" w:cs="Times New Roman"/>
          <w:sz w:val="24"/>
          <w:szCs w:val="24"/>
        </w:rPr>
        <w:t>several shelf settings.</w:t>
      </w:r>
    </w:p>
    <w:p w14:paraId="5D8A5BC3" w14:textId="2CDB62E7" w:rsidR="004532F4" w:rsidRPr="009F2999" w:rsidRDefault="004532F4" w:rsidP="004532F4">
      <w:pPr>
        <w:rPr>
          <w:rFonts w:ascii="Times New Roman" w:hAnsi="Times New Roman" w:cs="Times New Roman"/>
          <w:sz w:val="24"/>
          <w:szCs w:val="24"/>
        </w:rPr>
      </w:pPr>
      <w:r w:rsidRPr="009F2999">
        <w:rPr>
          <w:rFonts w:ascii="Times New Roman" w:hAnsi="Times New Roman" w:cs="Times New Roman"/>
          <w:sz w:val="24"/>
          <w:szCs w:val="24"/>
        </w:rPr>
        <w:t>The system</w:t>
      </w:r>
      <w:r w:rsidRPr="009F2999">
        <w:rPr>
          <w:rFonts w:ascii="Times New Roman" w:hAnsi="Times New Roman" w:cs="Times New Roman"/>
          <w:sz w:val="24"/>
          <w:szCs w:val="24"/>
        </w:rPr>
        <w:t xml:space="preserve"> </w:t>
      </w:r>
      <w:r w:rsidRPr="009F2999">
        <w:rPr>
          <w:rFonts w:ascii="Times New Roman" w:hAnsi="Times New Roman" w:cs="Times New Roman"/>
          <w:sz w:val="24"/>
          <w:szCs w:val="24"/>
        </w:rPr>
        <w:t>ha</w:t>
      </w:r>
      <w:r w:rsidRPr="009F2999">
        <w:rPr>
          <w:rFonts w:ascii="Times New Roman" w:hAnsi="Times New Roman" w:cs="Times New Roman"/>
          <w:sz w:val="24"/>
          <w:szCs w:val="24"/>
        </w:rPr>
        <w:t>s</w:t>
      </w:r>
      <w:r w:rsidRPr="009F2999">
        <w:rPr>
          <w:rFonts w:ascii="Times New Roman" w:hAnsi="Times New Roman" w:cs="Times New Roman"/>
          <w:sz w:val="24"/>
          <w:szCs w:val="24"/>
        </w:rPr>
        <w:t xml:space="preserve"> an energy output of 1.27 J/cm</w:t>
      </w:r>
      <w:r w:rsidRPr="009F2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2999">
        <w:rPr>
          <w:rFonts w:ascii="Times New Roman" w:hAnsi="Times New Roman" w:cs="Times New Roman"/>
          <w:sz w:val="24"/>
          <w:szCs w:val="24"/>
        </w:rPr>
        <w:t xml:space="preserve"> per pulse at 1.8 cm below the xenon bulb. The xenon bulb pulse</w:t>
      </w:r>
      <w:r w:rsidRPr="009F2999">
        <w:rPr>
          <w:rFonts w:ascii="Times New Roman" w:hAnsi="Times New Roman" w:cs="Times New Roman"/>
          <w:sz w:val="24"/>
          <w:szCs w:val="24"/>
        </w:rPr>
        <w:t>s</w:t>
      </w:r>
      <w:r w:rsidRPr="009F2999">
        <w:rPr>
          <w:rFonts w:ascii="Times New Roman" w:hAnsi="Times New Roman" w:cs="Times New Roman"/>
          <w:sz w:val="24"/>
          <w:szCs w:val="24"/>
        </w:rPr>
        <w:t xml:space="preserve"> 3 times per second, with each pulse lasting 360 </w:t>
      </w:r>
      <w:proofErr w:type="spellStart"/>
      <w:r w:rsidRPr="009F2999">
        <w:rPr>
          <w:rFonts w:ascii="Times New Roman" w:hAnsi="Times New Roman" w:cs="Times New Roman"/>
          <w:sz w:val="24"/>
          <w:szCs w:val="24"/>
        </w:rPr>
        <w:t>μsec</w:t>
      </w:r>
      <w:proofErr w:type="spellEnd"/>
      <w:r w:rsidRPr="009F2999">
        <w:rPr>
          <w:rFonts w:ascii="Times New Roman" w:hAnsi="Times New Roman" w:cs="Times New Roman"/>
          <w:sz w:val="24"/>
          <w:szCs w:val="24"/>
        </w:rPr>
        <w:t>. A polychromatic burst was produced with each pulse emitting wavelengths ranging from 100 to 1,100 nm. Over 54% of the emitted energy was in the UV spectrum</w:t>
      </w:r>
      <w:r w:rsidRPr="009F2999">
        <w:rPr>
          <w:rFonts w:ascii="Times New Roman" w:hAnsi="Times New Roman" w:cs="Times New Roman"/>
          <w:sz w:val="24"/>
          <w:szCs w:val="24"/>
        </w:rPr>
        <w:t>.</w:t>
      </w:r>
    </w:p>
    <w:p w14:paraId="50288523" w14:textId="77777777" w:rsidR="004532F4" w:rsidRDefault="004532F4" w:rsidP="004532F4"/>
    <w:p w14:paraId="364332E1" w14:textId="77777777" w:rsidR="004532F4" w:rsidRDefault="004532F4" w:rsidP="004532F4"/>
    <w:p w14:paraId="73AF4117" w14:textId="77777777" w:rsidR="004532F4" w:rsidRDefault="004532F4" w:rsidP="004532F4"/>
    <w:p w14:paraId="1714B8E8" w14:textId="045993E5" w:rsidR="004532F4" w:rsidRDefault="004532F4">
      <w:r>
        <w:br w:type="page"/>
      </w:r>
    </w:p>
    <w:p w14:paraId="01A3CF6F" w14:textId="07F4E388" w:rsidR="004532F4" w:rsidRDefault="004532F4" w:rsidP="001F5115">
      <w:pPr>
        <w:jc w:val="center"/>
      </w:pPr>
      <w:r>
        <w:rPr>
          <w:sz w:val="40"/>
          <w:szCs w:val="40"/>
        </w:rPr>
        <w:lastRenderedPageBreak/>
        <w:t>Pilot</w:t>
      </w:r>
      <w:r>
        <w:rPr>
          <w:sz w:val="40"/>
          <w:szCs w:val="40"/>
        </w:rPr>
        <w:t>-</w:t>
      </w:r>
      <w:r>
        <w:rPr>
          <w:sz w:val="40"/>
          <w:szCs w:val="40"/>
        </w:rPr>
        <w:t xml:space="preserve">Scale </w:t>
      </w:r>
      <w:r w:rsidRPr="004532F4">
        <w:rPr>
          <w:sz w:val="40"/>
          <w:szCs w:val="40"/>
        </w:rPr>
        <w:t>Pulsed UV system</w:t>
      </w:r>
      <w:r>
        <w:rPr>
          <w:sz w:val="40"/>
          <w:szCs w:val="40"/>
        </w:rPr>
        <w:t xml:space="preserve"> with Conveyor</w:t>
      </w:r>
    </w:p>
    <w:p w14:paraId="1838EC16" w14:textId="32A2261D" w:rsidR="004532F4" w:rsidRDefault="004532F4" w:rsidP="004532F4">
      <w:r>
        <w:rPr>
          <w:noProof/>
        </w:rPr>
        <w:drawing>
          <wp:inline distT="0" distB="0" distL="0" distR="0" wp14:anchorId="6A399F83" wp14:editId="605DCFFE">
            <wp:extent cx="5943600" cy="4307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F73C" w14:textId="40019A0E" w:rsidR="004532F4" w:rsidRDefault="004532F4" w:rsidP="004532F4"/>
    <w:p w14:paraId="187FEB4C" w14:textId="428F006D" w:rsidR="004532F4" w:rsidRDefault="004532F4" w:rsidP="004532F4">
      <w:pPr>
        <w:rPr>
          <w:rFonts w:ascii="Times New Roman" w:hAnsi="Times New Roman" w:cs="Times New Roman"/>
          <w:sz w:val="24"/>
          <w:szCs w:val="24"/>
        </w:rPr>
      </w:pPr>
      <w:r w:rsidRPr="009F2999">
        <w:rPr>
          <w:rFonts w:ascii="Times New Roman" w:hAnsi="Times New Roman" w:cs="Times New Roman"/>
          <w:sz w:val="24"/>
          <w:szCs w:val="24"/>
        </w:rPr>
        <w:t>This is</w:t>
      </w:r>
      <w:r w:rsidRPr="009F2999">
        <w:rPr>
          <w:rFonts w:ascii="Times New Roman" w:hAnsi="Times New Roman" w:cs="Times New Roman"/>
          <w:sz w:val="24"/>
          <w:szCs w:val="24"/>
        </w:rPr>
        <w:t xml:space="preserve"> a </w:t>
      </w:r>
      <w:r w:rsidR="001F5115" w:rsidRPr="009F2999">
        <w:rPr>
          <w:rFonts w:ascii="Times New Roman" w:hAnsi="Times New Roman" w:cs="Times New Roman"/>
          <w:sz w:val="24"/>
          <w:szCs w:val="24"/>
        </w:rPr>
        <w:t xml:space="preserve">pilot scale PUV light treatment system with conveyer </w:t>
      </w:r>
      <w:bookmarkStart w:id="0" w:name="_Hlk15456920"/>
      <w:r w:rsidR="001F5115" w:rsidRPr="009F2999">
        <w:rPr>
          <w:rFonts w:ascii="Times New Roman" w:hAnsi="Times New Roman" w:cs="Times New Roman"/>
          <w:sz w:val="24"/>
          <w:szCs w:val="24"/>
        </w:rPr>
        <w:t>(Model RC-802</w:t>
      </w:r>
      <w:bookmarkEnd w:id="0"/>
      <w:r w:rsidR="001F5115" w:rsidRPr="009F2999">
        <w:rPr>
          <w:rFonts w:ascii="Times New Roman" w:hAnsi="Times New Roman" w:cs="Times New Roman"/>
          <w:sz w:val="24"/>
          <w:szCs w:val="24"/>
        </w:rPr>
        <w:t>, Xenon Corporation, Wilmington, MA</w:t>
      </w:r>
      <w:r w:rsidR="001F5115" w:rsidRPr="009F2999">
        <w:rPr>
          <w:rFonts w:ascii="Times New Roman" w:hAnsi="Times New Roman" w:cs="Times New Roman"/>
          <w:noProof/>
          <w:sz w:val="24"/>
          <w:szCs w:val="24"/>
        </w:rPr>
        <w:t>)</w:t>
      </w:r>
      <w:r w:rsidR="001F5115" w:rsidRPr="009F299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F2999">
        <w:rPr>
          <w:rFonts w:ascii="Times New Roman" w:hAnsi="Times New Roman" w:cs="Times New Roman"/>
          <w:sz w:val="24"/>
          <w:szCs w:val="24"/>
        </w:rPr>
        <w:t xml:space="preserve">This system same pulsed UV light </w:t>
      </w:r>
      <w:proofErr w:type="gramStart"/>
      <w:r w:rsidRPr="009F2999">
        <w:rPr>
          <w:rFonts w:ascii="Times New Roman" w:hAnsi="Times New Roman" w:cs="Times New Roman"/>
          <w:sz w:val="24"/>
          <w:szCs w:val="24"/>
        </w:rPr>
        <w:t>system, but</w:t>
      </w:r>
      <w:proofErr w:type="gramEnd"/>
      <w:r w:rsidRPr="009F2999">
        <w:rPr>
          <w:rFonts w:ascii="Times New Roman" w:hAnsi="Times New Roman" w:cs="Times New Roman"/>
          <w:sz w:val="24"/>
          <w:szCs w:val="24"/>
        </w:rPr>
        <w:t xml:space="preserve"> includes two light boxes in serious to provide more treatment time as the conveyor passes the products underneath.</w:t>
      </w:r>
      <w:r w:rsidR="001F5115" w:rsidRPr="009F2999">
        <w:rPr>
          <w:rFonts w:ascii="Times New Roman" w:hAnsi="Times New Roman" w:cs="Times New Roman"/>
          <w:sz w:val="24"/>
          <w:szCs w:val="24"/>
        </w:rPr>
        <w:t xml:space="preserve"> Below are the </w:t>
      </w:r>
      <w:r w:rsidR="009F2999" w:rsidRPr="009F2999">
        <w:rPr>
          <w:rFonts w:ascii="Times New Roman" w:hAnsi="Times New Roman" w:cs="Times New Roman"/>
          <w:sz w:val="24"/>
          <w:szCs w:val="24"/>
        </w:rPr>
        <w:t>specifications</w:t>
      </w:r>
      <w:r w:rsidR="001F5115" w:rsidRPr="009F2999">
        <w:rPr>
          <w:rFonts w:ascii="Times New Roman" w:hAnsi="Times New Roman" w:cs="Times New Roman"/>
          <w:sz w:val="24"/>
          <w:szCs w:val="24"/>
        </w:rPr>
        <w:t xml:space="preserve"> for the chamber and conveyor.</w:t>
      </w:r>
    </w:p>
    <w:p w14:paraId="03103B81" w14:textId="77777777" w:rsidR="00DA4CEF" w:rsidRPr="009F2999" w:rsidRDefault="00DA4CEF" w:rsidP="004532F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440" w:type="dxa"/>
        <w:tblLook w:val="04A0" w:firstRow="1" w:lastRow="0" w:firstColumn="1" w:lastColumn="0" w:noHBand="0" w:noVBand="1"/>
      </w:tblPr>
      <w:tblGrid>
        <w:gridCol w:w="3060"/>
        <w:gridCol w:w="6380"/>
      </w:tblGrid>
      <w:tr w:rsidR="001F5115" w:rsidRPr="003E508B" w14:paraId="18CA4684" w14:textId="77777777" w:rsidTr="00331446">
        <w:trPr>
          <w:trHeight w:val="280"/>
        </w:trPr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CF9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Belt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6C46D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12-inch wide, open mesh Teflon coated fiberglass with SS alligator splice</w:t>
            </w:r>
          </w:p>
        </w:tc>
      </w:tr>
      <w:tr w:rsidR="001F5115" w:rsidRPr="003E508B" w14:paraId="4A14213F" w14:textId="77777777" w:rsidTr="00331446">
        <w:trPr>
          <w:trHeight w:val="280"/>
        </w:trPr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1F4F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Speed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81BEC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 xml:space="preserve">1 - 100 </w:t>
            </w:r>
            <w:r>
              <w:rPr>
                <w:rFonts w:cs="Arial"/>
                <w:color w:val="000000"/>
                <w:sz w:val="17"/>
                <w:szCs w:val="17"/>
              </w:rPr>
              <w:t>feet/minute (FPM);</w:t>
            </w:r>
            <w:r w:rsidRPr="003E508B">
              <w:rPr>
                <w:rFonts w:cs="Arial"/>
                <w:color w:val="000000"/>
                <w:sz w:val="17"/>
                <w:szCs w:val="17"/>
              </w:rPr>
              <w:t xml:space="preserve"> (VFD 20-100Hz); nominal speed 50 FPM</w:t>
            </w:r>
          </w:p>
        </w:tc>
      </w:tr>
      <w:tr w:rsidR="001F5115" w:rsidRPr="003E508B" w14:paraId="4143268C" w14:textId="77777777" w:rsidTr="00331446">
        <w:trPr>
          <w:trHeight w:val="280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91D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Frame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35E3D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Stainless steel construction with swivel locking casters</w:t>
            </w:r>
          </w:p>
        </w:tc>
      </w:tr>
      <w:tr w:rsidR="001F5115" w:rsidRPr="003E508B" w14:paraId="14D4DFC5" w14:textId="77777777" w:rsidTr="00331446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CBD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Linear Actuators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1AD5F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Adjustable UP and DOWN; each end</w:t>
            </w:r>
          </w:p>
        </w:tc>
      </w:tr>
      <w:tr w:rsidR="001F5115" w:rsidRPr="003E508B" w14:paraId="6A810E2E" w14:textId="77777777" w:rsidTr="00331446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C44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Lamp Height above belt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9E348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Adjustable 1 - 6 inches</w:t>
            </w:r>
          </w:p>
        </w:tc>
      </w:tr>
      <w:tr w:rsidR="001F5115" w:rsidRPr="003E508B" w14:paraId="47FD680F" w14:textId="77777777" w:rsidTr="00331446">
        <w:trPr>
          <w:trHeight w:val="280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06C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Light Shield Housing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946C9" w14:textId="77777777" w:rsidR="001F5115" w:rsidRPr="003E508B" w:rsidRDefault="001F5115" w:rsidP="00331446">
            <w:pPr>
              <w:ind w:firstLineChars="100" w:firstLine="170"/>
              <w:rPr>
                <w:rFonts w:cs="Arial"/>
                <w:color w:val="000000"/>
                <w:sz w:val="17"/>
                <w:szCs w:val="17"/>
              </w:rPr>
            </w:pPr>
            <w:r w:rsidRPr="003E508B">
              <w:rPr>
                <w:rFonts w:cs="Arial"/>
                <w:color w:val="000000"/>
                <w:sz w:val="17"/>
                <w:szCs w:val="17"/>
              </w:rPr>
              <w:t>5-inch high above belt, 13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x </w:t>
            </w:r>
            <w:r w:rsidRPr="003E508B">
              <w:rPr>
                <w:rFonts w:cs="Arial"/>
                <w:color w:val="000000"/>
                <w:sz w:val="17"/>
                <w:szCs w:val="17"/>
              </w:rPr>
              <w:t xml:space="preserve">93.87-inch 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(W x L) </w:t>
            </w:r>
          </w:p>
        </w:tc>
      </w:tr>
    </w:tbl>
    <w:p w14:paraId="7C64399D" w14:textId="77777777" w:rsidR="004532F4" w:rsidRDefault="004532F4" w:rsidP="004532F4"/>
    <w:sectPr w:rsidR="004532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F99D" w14:textId="77777777" w:rsidR="000F60B5" w:rsidRDefault="000F60B5" w:rsidP="004532F4">
      <w:pPr>
        <w:spacing w:after="0" w:line="240" w:lineRule="auto"/>
      </w:pPr>
      <w:r>
        <w:separator/>
      </w:r>
    </w:p>
  </w:endnote>
  <w:endnote w:type="continuationSeparator" w:id="0">
    <w:p w14:paraId="25278E23" w14:textId="77777777" w:rsidR="000F60B5" w:rsidRDefault="000F60B5" w:rsidP="0045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F241" w14:textId="77777777" w:rsidR="000F60B5" w:rsidRDefault="000F60B5" w:rsidP="004532F4">
      <w:pPr>
        <w:spacing w:after="0" w:line="240" w:lineRule="auto"/>
      </w:pPr>
      <w:r>
        <w:separator/>
      </w:r>
    </w:p>
  </w:footnote>
  <w:footnote w:type="continuationSeparator" w:id="0">
    <w:p w14:paraId="080B2DE6" w14:textId="77777777" w:rsidR="000F60B5" w:rsidRDefault="000F60B5" w:rsidP="0045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14C1" w14:textId="6B827D53" w:rsidR="004532F4" w:rsidRDefault="004532F4">
    <w:pPr>
      <w:pStyle w:val="Header"/>
    </w:pPr>
  </w:p>
  <w:p w14:paraId="41CEEEE3" w14:textId="77777777" w:rsidR="004532F4" w:rsidRDefault="00453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F4"/>
    <w:rsid w:val="000F60B5"/>
    <w:rsid w:val="001F5115"/>
    <w:rsid w:val="002D2B4E"/>
    <w:rsid w:val="004532F4"/>
    <w:rsid w:val="009F2999"/>
    <w:rsid w:val="00D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EFD7"/>
  <w15:chartTrackingRefBased/>
  <w15:docId w15:val="{C1F88B16-EB7B-4E52-B840-ED9F7CA8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F4"/>
  </w:style>
  <w:style w:type="paragraph" w:styleId="Footer">
    <w:name w:val="footer"/>
    <w:basedOn w:val="Normal"/>
    <w:link w:val="FooterChar"/>
    <w:uiPriority w:val="99"/>
    <w:unhideWhenUsed/>
    <w:rsid w:val="0045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F4"/>
  </w:style>
  <w:style w:type="paragraph" w:styleId="BalloonText">
    <w:name w:val="Balloon Text"/>
    <w:basedOn w:val="Normal"/>
    <w:link w:val="BalloonTextChar"/>
    <w:uiPriority w:val="99"/>
    <w:semiHidden/>
    <w:unhideWhenUsed/>
    <w:rsid w:val="0045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jpg@01D5FABF.68B72B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png@01D5FABF.68B72B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2020-03-22T15:42:00Z</dcterms:created>
  <dcterms:modified xsi:type="dcterms:W3CDTF">2020-03-22T15:42:00Z</dcterms:modified>
</cp:coreProperties>
</file>